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Opendoor Technologies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001-39253</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30-1318214</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410 N. Scottsdale Road, Suite 1600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Tempe, AZ</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85288</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618-6760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6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OPEN</w:t>
            </w:r>
          </w:p>
        </w:tc>
        <w:tc>
          <w:tcPr>
            <w:tcW w:w="100" w:type="dxa"/>
            <w:vAlign w:val="bottom"/>
          </w:tcPr>
          <w:p>
            <w:pPr>
              <w:spacing w:after="0"/>
              <w:rPr>
                <w:sz w:val="20"/>
                <w:szCs w:val="20"/>
                <w:color w:val="auto"/>
              </w:rPr>
            </w:pPr>
          </w:p>
        </w:tc>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2025, Opendoor Technologies Inc. (the “Company”) consummated (the “Closing”) the previously announced privately negotiated exchange and subscription transactions, pursuant to which it issued $325.0 million aggregate principal amount of its 7.000% Convertible Senior Notes due 2030 (the “Notes”), consisting of (a) approximately $245.8 million principal amount of Notes issued in exchange for approximately $245.8 million principal amount of the Company’s 0.25% Convertible Senior Notes due 2026 (the “2026 Notes”), and (b) approximately $79.2 million principal amount of Notes issued for cash, in each case, pursuant to exemptions from registration under the Securities Act of 1933, as amended (the “Securities Act”), and the rules and regulations thereunder. The Notes were issued pursuant to, and are governed by, an indenture (the “Indenture”), dated as of May 16, 2025, between the Company and U.S. Bank Trust Company, National Association, as trustee (the “Trustee”).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are senior, unsecured obligations of the Company and accrue interest at a rate of 7.000% per annum, payable semiannually on May 15 and November 15 of each year, beginning on November 15, 2025. The Notes will mature on May 15, 2030, unless earlier converted, redeemed or repurchased. The initial conversion rate is 637.1050 shares of the Company’s common stock per $1,000 principal amount of the Notes, subject to customary adjustments.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November 15, 2029, noteholders have the right to convert their Notes only upon the occurrence of certain events. From and including November 15, 2029, noteholders may convert their Notes at any time at their election until the close of business on the second scheduled trading day immediately before the maturity date. The Company will settle conversions by paying cash up to the aggregate principal amount of the Notes to be converted and paying or delivering, as applicable, cash, shares of its common stock or a combination of cash and shares of its common stock, at its election, in respect of the remainder, if any, of its conversion obligation in excess of the aggregate principal amount of the Notes being converted based on the applicable conversion rate. The initial conversion rate is 637.1050 shares of common stock per $1,000 principal amount of Notes, which represents an initial conversion price of approximately $1.57 per share of common stock. Based on the initial conversion rate, a maximum of 207,059,125 shares of common stock would be issued upon conversion of the Notes. The initial conversion price represents a premium of approximately 80% over the last reported sale price of $0.872 per share of the Company’s common stock on May 8, 2025.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are redeemable, in whole or in part (subject to certain limitations), for cash at the Company’s option at any time, and from time to time, on or after May 22, 2028 and before the 36th scheduled trading day immediately before the maturity date, but only if the last reported sale price per share of the Company’s common stock exceeds 130% of the conversion price for a specified period of time and certain liquidity conditions have been satisfied. However, the Company may not redeem less than all of the outstanding Notes unless at least $100.0 million aggregate principal amount of Notes are outstanding and not called for redemption as of the time the Company sends the related redemption notice. The redemption price is equal to the principal amount of the Notes to be redeemed, plus accrued and unpaid interest, if any, to, but excluding, the relevant redemption date. In addition, calling the Notes will constitute a Make-Whole Fundamental Change, which will result in an increase to the conversion rate in certain circumstances for a specified period of time.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Company has previously called all outstanding Notes for redemption, noteholders may require the Company to repurchase their Notes on May 15, 2028, at a cash repurchase price equal to the principal amount of the Notes to be repurchased, plus accrued and unpaid interest, if any, to, but excluding,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$50,000,000; and (vii) certain events of bankruptcy, insolvency and reorganization involving the Company or any of its significant subsidiaries.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for up to 180 days, exclusively of the right of the noteholders to receive special interest on the Notes at a specified rate per annum not exceeding 1.00% on the principal amount of the Notes. If the Company makes such an election, then the Notes will be subject to acceleration on account of the relevant reporting covenant failure from, and including, the 181st day after which such failure occurred or if the Company fails to pay any accrued and unpaid special interest. Special interest will cease to accrue on any Notes from, and including, such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 and the Notes is a summary and is not complete. A copy of the Indenture and the form of the Notes are filed as exhibits 4.1 and 4.2, respectively, to this Current Report on Form 8-K, and the above summary is qualified by reference to the terms of the Indenture and the Notes set forth in such exhibits.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shares of the Company’s common stock that may be issued upon conversion of the Notes will be issued in reliance upon Section 3(a)(9) of the Securities Act as involving an exchange by the Company exclusively with its security holders. Initially, a maximum of 354,071,087 shares of the Company’s common stock may be issued upon conversion of the Notes based on the initial maximum conversion rate of 1,089.4495 shares of common stock per $1,000 principal amount of Notes, which is subject to customary anti-dilution adjustment provisions.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19, 2025, the Company announced the Closing of the above-described transactions in a press release furnished as Exhibit 99.1 to this Current Report on Form 8-K, which is incorporated by reference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9560" w:type="dxa"/>
            <w:vAlign w:val="bottom"/>
          </w:tcPr>
          <w:p>
            <w:pPr>
              <w:spacing w:after="0"/>
              <w:rPr>
                <w:sz w:val="20"/>
                <w:szCs w:val="20"/>
                <w:color w:val="auto"/>
              </w:rPr>
            </w:pPr>
          </w:p>
        </w:tc>
      </w:tr>
      <w:tr>
        <w:trPr>
          <w:trHeight w:val="439"/>
        </w:trPr>
        <w:tc>
          <w:tcPr>
            <w:tcW w:w="500" w:type="dxa"/>
            <w:vAlign w:val="bottom"/>
          </w:tcPr>
          <w:p>
            <w:pPr>
              <w:spacing w:after="0"/>
              <w:rPr>
                <w:sz w:val="24"/>
                <w:szCs w:val="24"/>
                <w:color w:val="auto"/>
              </w:rPr>
            </w:pPr>
          </w:p>
        </w:tc>
        <w:tc>
          <w:tcPr>
            <w:tcW w:w="1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956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8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as of May 16, 2025, between Opendoor Technologies Inc. and U.S. Bank Trust Company, National Association, as</w:t>
            </w:r>
          </w:p>
        </w:tc>
      </w:tr>
      <w:tr>
        <w:trPr>
          <w:trHeight w:val="237"/>
        </w:trPr>
        <w:tc>
          <w:tcPr>
            <w:tcW w:w="50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392"/>
        </w:trPr>
        <w:tc>
          <w:tcPr>
            <w:tcW w:w="8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Form of 7.000% Convertible Senior Notes due 2030 (included as Exhibit A to Exhibit 4.1).</w:t>
            </w:r>
          </w:p>
        </w:tc>
      </w:tr>
      <w:tr>
        <w:trPr>
          <w:trHeight w:val="20"/>
        </w:trPr>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r>
      <w:tr>
        <w:trPr>
          <w:trHeight w:val="412"/>
        </w:trPr>
        <w:tc>
          <w:tcPr>
            <w:tcW w:w="15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May 19, 2025.</w:t>
            </w:r>
          </w:p>
        </w:tc>
      </w:tr>
      <w:tr>
        <w:trPr>
          <w:trHeight w:val="20"/>
        </w:trPr>
        <w:tc>
          <w:tcPr>
            <w:tcW w:w="5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r>
      <w:tr>
        <w:trPr>
          <w:trHeight w:val="453"/>
        </w:trPr>
        <w:tc>
          <w:tcPr>
            <w:tcW w:w="8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(Cover page XBRL tags are embedded within the Inline XBRL document).</w:t>
            </w:r>
          </w:p>
        </w:tc>
      </w:tr>
      <w:tr>
        <w:trPr>
          <w:trHeight w:val="398"/>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2025</w:t>
            </w: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Selim Freiha</w:t>
            </w:r>
          </w:p>
        </w:tc>
      </w:tr>
      <w:tr>
        <w:trPr>
          <w:trHeight w:val="198"/>
        </w:trPr>
        <w:tc>
          <w:tcPr>
            <w:tcW w:w="3260" w:type="dxa"/>
            <w:vAlign w:val="bottom"/>
          </w:tcPr>
          <w:p>
            <w:pPr>
              <w:spacing w:after="0"/>
              <w:rPr>
                <w:sz w:val="17"/>
                <w:szCs w:val="17"/>
                <w:color w:val="auto"/>
              </w:rPr>
            </w:pPr>
          </w:p>
        </w:tc>
        <w:tc>
          <w:tcPr>
            <w:tcW w:w="2360" w:type="dxa"/>
            <w:vAlign w:val="bottom"/>
          </w:tcPr>
          <w:p>
            <w:pPr>
              <w:ind w:left="18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Selim Freiha</w:t>
            </w:r>
          </w:p>
        </w:tc>
      </w:tr>
      <w:tr>
        <w:trPr>
          <w:trHeight w:val="234"/>
        </w:trPr>
        <w:tc>
          <w:tcPr>
            <w:tcW w:w="3260" w:type="dxa"/>
            <w:vAlign w:val="bottom"/>
          </w:tcPr>
          <w:p>
            <w:pPr>
              <w:spacing w:after="0"/>
              <w:rPr>
                <w:sz w:val="20"/>
                <w:szCs w:val="20"/>
                <w:color w:val="auto"/>
              </w:rPr>
            </w:pP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OPENDOOR TECHNOLOGIES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U.S. BANK TRUST COMPANY, NATIONAL ASSOCIATION</w:t>
      </w:r>
    </w:p>
    <w:p>
      <w:pPr>
        <w:spacing w:after="0" w:line="2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154305</wp:posOffset>
            </wp:positionV>
            <wp:extent cx="25031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154305</wp:posOffset>
            </wp:positionV>
            <wp:extent cx="25031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7.000% Convertible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8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 Rules of Construction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8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3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w:t>
            </w:r>
          </w:p>
        </w:tc>
        <w:tc>
          <w:tcPr>
            <w:tcW w:w="9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Notes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2.01.  Form, Dating and Denominations.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2.02.  Execution, Authentication and Delivery.</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2.03.  Initial Notes and Additional Notes.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2.04.  Method of Payment.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2.05.  Accrual of Interest; Defaulted Amounts; When Payment Date is Not a Business Day.</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2.06.  Registrar, Paying Agent and Conversion Agent.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2.07.  Paying Agent and Conversion Agent to Hold Property in Trust.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Legends.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2.10.  Transfers and Exchanges; Certain Transfer Restrictions.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6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Section 2.11.  Exchange and Cancellation of Notes to Be Converted or to Be Repurchased Pursuant to a Repurchase Upon</w:t>
            </w:r>
          </w:p>
        </w:tc>
        <w:tc>
          <w:tcPr>
            <w:tcW w:w="11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Fundamental Change, Optional Repurchase or Redemption.</w:t>
            </w: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2.12.  Removal of Transfer Restrictions.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Replacement Notes.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2.14.  Registered Holders; Certain Rights with Respect to Global Notes.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2.15.</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2.16.  Notes Held by the Company or its Affiliates.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2.17.</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2.18.</w:t>
            </w: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2.19.  Repurchases by the Company.</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2.20.  CUSIP and ISIN Numbers.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9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Covenants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3.01.  Payment on Notes.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3.02.  Exchange Act Reports.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3.03.  Rule 144A Information.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Interest.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3.05.  Compliance and Default Certificates.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3.06.  Stay, Extension and Usury Laws.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3.07.  Acquisition of Notes by the Company and its Affiliates.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3.08.</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Existence.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Repurchase and Redemption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8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Sinking Fund.</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4.02.  Right of Holders to Require the Company to Repurchase Notes Upon a Fundamental Change.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4.03.  Right of Holders to Require the Company to Repurchase Notes on the Optional Repurchase Date.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4.04.  Right of the Company to Redeem the Notes.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5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w:t>
            </w:r>
          </w:p>
        </w:tc>
        <w:tc>
          <w:tcPr>
            <w:tcW w:w="9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Conversion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5.01.  Right to Convert.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5.03.  Settlement Upon Conversion.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5.04.  Reserve and Status of Common Stock Issued Upon Conversion.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5.05.  Adjustments to the Conversion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5.06.</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Voluntary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5.07.  Adjustments to the Conversion Rate in Connection with a Make-Whole Fundamental Change.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5.08.  Exchange in Lieu of Conversion.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5.09.  Effect of Common Stock Change Event.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5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w:t>
            </w:r>
          </w:p>
        </w:tc>
        <w:tc>
          <w:tcPr>
            <w:tcW w:w="9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Successors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6.01.  When the Company May Merge, Etc.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6.02.  Successor Corporation Substituted.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6.03.  Exclusion for Certain Asset Transfers.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Defaults and Remedies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7.03.  Sole Remedy for a Failure to Report.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7.05.  Waiver of Past Defaults.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7.06.  Control by Majority.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7.07.  Limitation on Suits.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32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Section 7.08.  Absolute Right of Holders to Institute Suit for the Enforcement of the Right to Receive Payment and Conversion</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Consideration.</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7.09.  Collection Suit by Trustee.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7.10.  Trustee May File Proofs of Claim.</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7.12.  Undertaking for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8.01.  Without the Consent of 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8.02.  With the Consent of Holders.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8.03.  Notice of Amendments, Supplements and Waivers.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8.04.  Revocation, Effect and Solicitation of Consents; Special Record Dates; Etc.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8.05.  Notations and Exchanges.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8.06.</w:t>
            </w:r>
          </w:p>
        </w:tc>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 to Execute Supplemental Indentures.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Satisfaction and Discharge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7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 of Company’s Obligations.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Company.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w:t>
            </w:r>
          </w:p>
        </w:tc>
        <w:tc>
          <w:tcPr>
            <w:tcW w:w="8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6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10.01. Duties of the Trustee.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10.02. Rights of the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10.03. Individual Rights of the Trustee.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10.04. Trustee’s Disclaimer.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10.05. Notice of Defaults.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10.06. Compensation and Indemnity.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10.07. Replacement of the Trustee.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10.08. Successor Trustee by Merger,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10.09. Eligibility; Disqualification.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w:t>
            </w:r>
          </w:p>
        </w:tc>
        <w:tc>
          <w:tcPr>
            <w:tcW w:w="8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Miscellaneous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6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11.01. Notices.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11.02. Delivery of Officer’s Certificate and Opinion of Counsel as to Conditions Precedent.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11.03. Statements Required in Officer’s Certificate and Opinion of Counsel.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11.04. Rules by the Trustee, the Registrar, the Paying Agent and Conversion Agent.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11.05. No Personal Liability of Directors, Officers, Employees and Stockholders.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11.06. Governing Law; Waiver of Jury Trial.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11.07. Submission to Jurisdiction.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11.08. No Adverse Interpretation of Other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11.09. Successors.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11.10. Force Majeure.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11.11. U.S.A. PATRIOT Act.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11.12. Calculations.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11.13. Severability.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11.14. Counterparts.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11.15. Table of Contents, Headings, Etc.</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11.16. Withholding 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5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B-1: Form of Restricted Note Legend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B-2: Form of Global Note Legend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B-3: Form of Non-Affiliate Legend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B-4: Form of OID Legend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May 16, 2025, between Opendoor Technologies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to this Indenture (as defined below) agrees as follows for the benefit of the other party and for the equal and ratable benefit of the Holders (as defined below) of the Company’s 7.000% Convertible Senior Notes due 2030.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DEFINITIONS; RULES OF CONSTRUCTION</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1.01.</w:t>
        <w:tab/>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as in effect on the Issue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a Note, a principal amount thereof equal to a minimum of $1,000 or any integral multiple of $1,000 in excess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jc w:val="both"/>
        <w:ind w:firstLine="69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xml:space="preserve">” means the Person who is required to obtain bids for the Trading Price in accordance with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initial Bid Solicitation Agent on the Issue Date will be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appoint any other Person (including any of the Company’s Subsidiaries) to be the Bid Solicitation Agent at any time after the Issue Date without prior notice.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(i) to vote in the election of directors of such Person or (ii)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common stock, $0.0001 par value per share, of the Company, subject to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the Person named as such in the first paragraph of this Indenture and, 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on behalf of the Company by one (1) of its Officers and delivered to the Trustee.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with respect to a Note, the first Business Day on which the requirements set forth in </w:t>
      </w:r>
      <w:r>
        <w:rPr>
          <w:rFonts w:ascii="Times New Roman" w:cs="Times New Roman" w:eastAsia="Times New Roman" w:hAnsi="Times New Roman"/>
          <w:sz w:val="18"/>
          <w:szCs w:val="18"/>
          <w:b w:val="1"/>
          <w:bCs w:val="1"/>
          <w:color w:val="auto"/>
        </w:rPr>
        <w:t>Section 5.02(A)</w:t>
      </w:r>
      <w:r>
        <w:rPr>
          <w:rFonts w:ascii="Times New Roman" w:cs="Times New Roman" w:eastAsia="Times New Roman" w:hAnsi="Times New Roman"/>
          <w:sz w:val="18"/>
          <w:szCs w:val="18"/>
          <w:color w:val="auto"/>
        </w:rPr>
        <w:t xml:space="preserve"> to convert such Note are satisfied.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an amount equal to (A) one thousand dollars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Conversion Rate in effect at such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xml:space="preserve">” initially means 637.1050 shares of Common Stock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Conversion Rate is subject to adjustment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w:t>
      </w:r>
      <w:r>
        <w:rPr>
          <w:rFonts w:ascii="Times New Roman" w:cs="Times New Roman" w:eastAsia="Times New Roman" w:hAnsi="Times New Roman"/>
          <w:sz w:val="18"/>
          <w:szCs w:val="18"/>
          <w:color w:val="auto"/>
        </w:rPr>
        <w:t>” means any share of Common Stock issued or issuable upon conversion of any Note.</w:t>
      </w:r>
    </w:p>
    <w:p>
      <w:pPr>
        <w:spacing w:after="0" w:line="225" w:lineRule="exact"/>
        <w:rPr>
          <w:sz w:val="20"/>
          <w:szCs w:val="20"/>
          <w:color w:val="auto"/>
        </w:rPr>
      </w:pPr>
    </w:p>
    <w:p>
      <w:pPr>
        <w:jc w:val="both"/>
        <w:ind w:firstLine="69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Cash Amount</w:t>
      </w:r>
      <w:r>
        <w:rPr>
          <w:rFonts w:ascii="Times New Roman" w:cs="Times New Roman" w:eastAsia="Times New Roman" w:hAnsi="Times New Roman"/>
          <w:sz w:val="18"/>
          <w:szCs w:val="18"/>
          <w:color w:val="auto"/>
        </w:rPr>
        <w:t>” means, with respect to any VWAP Trading Day, the lesser of (A) the applicable Daily Maximum Cash Amount; and (B) the Daily Conversion Value for such VWAP Trading Day.</w:t>
      </w:r>
    </w:p>
    <w:p>
      <w:pPr>
        <w:spacing w:after="0" w:line="155"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with respect to any VWAP Trading Day, one-thirtieth of the product of (A) the Conversion Rate on such VWAP Trading Day; and (B) the Daily VWAP per share of Common Stock on such VWAP Trading Day.</w:t>
      </w:r>
    </w:p>
    <w:p>
      <w:pPr>
        <w:spacing w:after="0" w:line="155" w:lineRule="exact"/>
        <w:rPr>
          <w:sz w:val="20"/>
          <w:szCs w:val="20"/>
          <w:color w:val="auto"/>
        </w:rPr>
      </w:pPr>
    </w:p>
    <w:p>
      <w:pPr>
        <w:jc w:val="both"/>
        <w:ind w:firstLine="69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Maximum Cash Amount</w:t>
      </w:r>
      <w:r>
        <w:rPr>
          <w:rFonts w:ascii="Times New Roman" w:cs="Times New Roman" w:eastAsia="Times New Roman" w:hAnsi="Times New Roman"/>
          <w:sz w:val="18"/>
          <w:szCs w:val="18"/>
          <w:color w:val="auto"/>
        </w:rPr>
        <w:t>” means, with respect to the conversion of any Note, the quotient obtained by dividing (A) the Specified Dollar Amount applicable to such conversion by (B) 30.</w:t>
      </w:r>
    </w:p>
    <w:p>
      <w:pPr>
        <w:spacing w:after="0" w:line="155" w:lineRule="exact"/>
        <w:rPr>
          <w:sz w:val="20"/>
          <w:szCs w:val="20"/>
          <w:color w:val="auto"/>
        </w:rPr>
      </w:pPr>
    </w:p>
    <w:p>
      <w:pPr>
        <w:jc w:val="both"/>
        <w:ind w:firstLine="70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Share Amount</w:t>
      </w:r>
      <w:r>
        <w:rPr>
          <w:rFonts w:ascii="Times New Roman" w:cs="Times New Roman" w:eastAsia="Times New Roman" w:hAnsi="Times New Roman"/>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“OPEN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xml:space="preserve">” means Combination Settlement with a Specified Dollar Amount of $1,000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(x)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5.03(A)(iii)</w:t>
      </w:r>
      <w:r>
        <w:rPr>
          <w:rFonts w:ascii="Times New Roman" w:cs="Times New Roman" w:eastAsia="Times New Roman" w:hAnsi="Times New Roman"/>
          <w:sz w:val="18"/>
          <w:szCs w:val="18"/>
          <w:color w:val="auto"/>
        </w:rPr>
        <w:t>, the Company may, from time to time, change the Default Settlement Method, to any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 that the Company is then permitted to elect, by sending notice of the new Default Settlement Method to the Holders, the Trustee and the Conversion Agent; and (y) the Default Settlement Method will be subject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Participant</w:t>
      </w:r>
      <w:r>
        <w:rPr>
          <w:rFonts w:ascii="Times New Roman" w:cs="Times New Roman" w:eastAsia="Times New Roman" w:hAnsi="Times New Roman"/>
          <w:sz w:val="18"/>
          <w:szCs w:val="18"/>
          <w:color w:val="auto"/>
        </w:rPr>
        <w:t>” means any member of, or participant in, the Depositary.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Procedures</w:t>
      </w:r>
      <w:r>
        <w:rPr>
          <w:rFonts w:ascii="Times New Roman" w:cs="Times New Roman" w:eastAsia="Times New Roman" w:hAnsi="Times New Roman"/>
          <w:sz w:val="18"/>
          <w:szCs w:val="18"/>
          <w:color w:val="auto"/>
        </w:rPr>
        <w:t>” means, with respect to any conversion, transfer, exchange or other transaction involving a Global Note or any beneficial interest therein, the rules and procedures of the Depositary applicable to such conversion, transfer, exchange or transaction.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in relation to a stock split or stock combination, means the first date on which the shares of Common Stock trade on the relevant stock exchange, regular way, reflecting the relevant stock split or stock combination, as applicable.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xml:space="preserve">” means any Fundamental Change with respect to which, in accordance with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 the Company does not offer to repurchase any Notes.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means, with respect to any security of the Company, that such security would be eligible to be offered, sold or otherwise transferred pursuant to Rule 144 if held by a person that is not an Affiliate of the Company, and that has not been an Affiliate of the Company during the immediately preceding three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jc w:val="both"/>
        <w:ind w:firstLine="656"/>
        <w:spacing w:after="0" w:line="261" w:lineRule="auto"/>
        <w:tabs>
          <w:tab w:leader="none" w:pos="13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sale, lease or other transfer, in one transaction or a series of transactions, of all or substantially all of the assets of the Company and its Subsidiaries, taken as a whole, to any Person, other than (A) solely to one or more of the Company’s Wholly Owned Subsidiaries, (B) sales or other transfers of residential real property and/or mortgage loans in the ordinary course of the Company’s business and (C) transfers to the Company’s Subsidiaries in connection with bona fide financing transactions and equity transfers of the equity of the Company’s Subsidiaries in connection with establishing bona fide financing vehicles;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merger, consolidation, share exchange or combination of the Company pursuant to which the Persons that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or proposal for the liquidation or dissolution of the Company; or</w:t>
      </w:r>
    </w:p>
    <w:p>
      <w:pPr>
        <w:spacing w:after="0" w:line="39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firstLine="656"/>
        <w:spacing w:after="0" w:line="282" w:lineRule="auto"/>
        <w:tabs>
          <w:tab w:leader="none" w:pos="1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on any of The New York Stock Exchange, The Nasdaq Global Market or The Nasdaq Global Select Market (or any of their respective successors);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event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not constitute a Fundamental Change if at least ninety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listed (or depositary receipts representing shares of common stock,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transaction in which the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the Company for purposes of this definition of “Fundamental Change” shall instead be references to such other entity.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 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whether 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and percentage beneficial ownership, will be determined in accordance with Rule 13d-3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means the date fixed for the repurchase of any Notes by the Company pursuant to a Repurchase Upon Fundamental Change.</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means a notice (including a notice substantially in the form of the “Fundamental Change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containing the information, or otherwise complying with the requirements, set forth in </w:t>
      </w:r>
      <w:r>
        <w:rPr>
          <w:rFonts w:ascii="Times New Roman" w:cs="Times New Roman" w:eastAsia="Times New Roman" w:hAnsi="Times New Roman"/>
          <w:sz w:val="18"/>
          <w:szCs w:val="18"/>
          <w:b w:val="1"/>
          <w:bCs w:val="1"/>
          <w:color w:val="auto"/>
        </w:rPr>
        <w:t>Section 4.02(F)(i)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4.02(F)(ii)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Global Note</w:t>
      </w:r>
      <w:r>
        <w:rPr>
          <w:rFonts w:ascii="Times New Roman" w:cs="Times New Roman" w:eastAsia="Times New Roman" w:hAnsi="Times New Roman"/>
          <w:sz w:val="17"/>
          <w:szCs w:val="17"/>
          <w:color w:val="auto"/>
        </w:rPr>
        <w:t xml:space="preserve">” means a Note that is represented by a certificate substantially in 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registered in the name of the Depositary or its nominee, duly executed by the Company and authenticated by the Trustee, and deposited with the Trustee, as custodian for the Depositary.</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with respect to a Note, each May 15 and November 15 of each year, commencing on November 15, 2025 (or commencing on such other date specified in the certificate representing such Note). For the avoidance of doubt, the Maturity Date is an Interest Payment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May 16, 2025.</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Original Issue Date</w:t>
      </w:r>
      <w:r>
        <w:rPr>
          <w:rFonts w:ascii="Times New Roman" w:cs="Times New Roman" w:eastAsia="Times New Roman" w:hAnsi="Times New Roman"/>
          <w:sz w:val="18"/>
          <w:szCs w:val="18"/>
          <w:color w:val="auto"/>
        </w:rPr>
        <w:t xml:space="preserve">” means (A) with respect to any Notes issued on the Issue Date and any Notes issued in exchange therefor or in substitution thereof, the Issue Date; and (B) with respect to any Notes issued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Neither the Trustee nor the Conversion Agent will have any duty to determine the Last Reported Sale Price.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Liquidity Conditions</w:t>
      </w:r>
      <w:r>
        <w:rPr>
          <w:rFonts w:ascii="Times New Roman" w:cs="Times New Roman" w:eastAsia="Times New Roman" w:hAnsi="Times New Roman"/>
          <w:sz w:val="18"/>
          <w:szCs w:val="18"/>
          <w:color w:val="auto"/>
        </w:rPr>
        <w:t xml:space="preserve">” with respect to the Redemption of any Notes will be satisfied if each of the following has been satisfied as of the Redemption Notice Date for such Redemption and is reasonably expected to continue to be satisfied through at least the thirtieth (30th) calendar day after the Redemption Date for such Redemption: (A) the Company has satisfied the reporting conditions (including, for the avoidance of doubt, the requirement for current Form 10 information) set forth in Rule 144(c) and (i)(2) under the Securities Act; and (B) the shares of Common Stock, if any, issued or issuable upon conversion of the Notes are Freely Tradable;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Liquidity Conditions will also be deemed to be satisfied with respect to such Redemption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the Company has elected to settle all conversions of called (or deemed called) Notes with a Conversion Date that occurs on or after such Redemption Notice Date and on or before the Business Day immediately before such Redemption Date by Cash Settlement.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 a Fundamental Change (determined after giving effect to the proviso immediately after </w:t>
      </w:r>
      <w:r>
        <w:rPr>
          <w:rFonts w:ascii="Times New Roman" w:cs="Times New Roman" w:eastAsia="Times New Roman" w:hAnsi="Times New Roman"/>
          <w:sz w:val="18"/>
          <w:szCs w:val="18"/>
          <w:b w:val="1"/>
          <w:bCs w:val="1"/>
          <w:color w:val="auto"/>
        </w:rPr>
        <w:t>clause</w:t>
      </w:r>
    </w:p>
    <w:p>
      <w:pPr>
        <w:spacing w:after="0" w:line="31" w:lineRule="exact"/>
        <w:rPr>
          <w:sz w:val="20"/>
          <w:szCs w:val="20"/>
          <w:color w:val="auto"/>
        </w:rPr>
      </w:pPr>
    </w:p>
    <w:p>
      <w:pPr>
        <w:jc w:val="both"/>
        <w:ind w:firstLine="8"/>
        <w:spacing w:after="0" w:line="255" w:lineRule="auto"/>
        <w:tabs>
          <w:tab w:leader="none" w:pos="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but without regard to the proviso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such definition); or (B) the sending of a Redemption Notice pursuant to </w:t>
      </w:r>
      <w:r>
        <w:rPr>
          <w:rFonts w:ascii="Times New Roman" w:cs="Times New Roman" w:eastAsia="Times New Roman" w:hAnsi="Times New Roman"/>
          <w:sz w:val="18"/>
          <w:szCs w:val="18"/>
          <w:b w:val="1"/>
          <w:bCs w:val="1"/>
          <w:color w:val="auto"/>
        </w:rPr>
        <w:t>Section 4.04(G)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w:t>
      </w:r>
      <w:r>
        <w:rPr>
          <w:rFonts w:ascii="Times New Roman" w:cs="Times New Roman" w:eastAsia="Times New Roman" w:hAnsi="Times New Roman"/>
          <w:sz w:val="18"/>
          <w:szCs w:val="18"/>
          <w:b w:val="1"/>
          <w:bCs w:val="1"/>
          <w:color w:val="auto"/>
        </w:rPr>
        <w:t xml:space="preserve"> Section 4.04(J)</w:t>
      </w:r>
      <w:r>
        <w:rPr>
          <w:rFonts w:ascii="Times New Roman" w:cs="Times New Roman" w:eastAsia="Times New Roman" w:hAnsi="Times New Roman"/>
          <w:sz w:val="18"/>
          <w:szCs w:val="18"/>
          <w:color w:val="auto"/>
        </w:rPr>
        <w:t>, the sending of a Redemption Notice will constitute a Make-Whole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only with respect to the Notes called for Redemption pursuant to such Redemption Notice and not with respect to any other Notes.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Conversion Period</w:t>
      </w:r>
      <w:r>
        <w:rPr>
          <w:rFonts w:ascii="Times New Roman" w:cs="Times New Roman" w:eastAsia="Times New Roman" w:hAnsi="Times New Roman"/>
          <w:sz w:val="18"/>
          <w:szCs w:val="18"/>
          <w:color w:val="auto"/>
        </w:rPr>
        <w:t>” has the following meaning:</w:t>
      </w:r>
    </w:p>
    <w:p>
      <w:pPr>
        <w:spacing w:after="0" w:line="225" w:lineRule="exact"/>
        <w:rPr>
          <w:sz w:val="20"/>
          <w:szCs w:val="20"/>
          <w:color w:val="auto"/>
        </w:rPr>
      </w:pPr>
    </w:p>
    <w:p>
      <w:pPr>
        <w:jc w:val="both"/>
        <w:ind w:firstLine="656"/>
        <w:spacing w:after="0" w:line="262" w:lineRule="auto"/>
        <w:tabs>
          <w:tab w:leader="none" w:pos="1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4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period from, and including, the Redemption Notice Date for the related Redemption to, and including, the Business Day immediately before the related Redemption Date;</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Conversion Date for the conversion of a Note that has been called (or deemed,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4.04(J)</w:t>
      </w:r>
      <w:r>
        <w:rPr>
          <w:rFonts w:ascii="Times New Roman" w:cs="Times New Roman" w:eastAsia="Times New Roman" w:hAnsi="Times New Roman"/>
          <w:sz w:val="18"/>
          <w:szCs w:val="18"/>
          <w:color w:val="auto"/>
        </w:rPr>
        <w:t>, to be called)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occurs during the Make-Whole Fundamental Change Conversion Period for both a Make-Whole Fundamental Change occurring pursuant to </w:t>
      </w:r>
      <w:r>
        <w:rPr>
          <w:rFonts w:ascii="Times New Roman" w:cs="Times New Roman" w:eastAsia="Times New Roman" w:hAnsi="Times New Roman"/>
          <w:sz w:val="18"/>
          <w:szCs w:val="18"/>
          <w:b w:val="1"/>
          <w:bCs w:val="1"/>
          <w:color w:val="auto"/>
        </w:rPr>
        <w:t xml:space="preserve">clause (A) </w:t>
      </w:r>
      <w:r>
        <w:rPr>
          <w:rFonts w:ascii="Times New Roman" w:cs="Times New Roman" w:eastAsia="Times New Roman" w:hAnsi="Times New Roman"/>
          <w:sz w:val="18"/>
          <w:szCs w:val="18"/>
          <w:color w:val="auto"/>
        </w:rPr>
        <w:t>of the definition of “Make-Whole Fundamental Change” and a Make-Whole Fundamental Change resulting from such Redemption pursuant to</w:t>
      </w:r>
      <w:r>
        <w:rPr>
          <w:rFonts w:ascii="Times New Roman" w:cs="Times New Roman" w:eastAsia="Times New Roman" w:hAnsi="Times New Roman"/>
          <w:sz w:val="18"/>
          <w:szCs w:val="18"/>
          <w:b w:val="1"/>
          <w:bCs w:val="1"/>
          <w:color w:val="auto"/>
        </w:rPr>
        <w:t xml:space="preserve"> clause (B) </w:t>
      </w:r>
      <w:r>
        <w:rPr>
          <w:rFonts w:ascii="Times New Roman" w:cs="Times New Roman" w:eastAsia="Times New Roman" w:hAnsi="Times New Roman"/>
          <w:sz w:val="18"/>
          <w:szCs w:val="18"/>
          <w:color w:val="auto"/>
        </w:rPr>
        <w:t>of such definition, then, notwithstanding anything to the contrary in</w:t>
      </w:r>
      <w:r>
        <w:rPr>
          <w:rFonts w:ascii="Times New Roman" w:cs="Times New Roman" w:eastAsia="Times New Roman" w:hAnsi="Times New Roman"/>
          <w:sz w:val="18"/>
          <w:szCs w:val="18"/>
          <w:b w:val="1"/>
          <w:bCs w:val="1"/>
          <w:color w:val="auto"/>
        </w:rPr>
        <w:t xml:space="preserve"> Section 5.07</w:t>
      </w:r>
      <w:r>
        <w:rPr>
          <w:rFonts w:ascii="Times New Roman" w:cs="Times New Roman" w:eastAsia="Times New Roman" w:hAnsi="Times New Roman"/>
          <w:sz w:val="18"/>
          <w:szCs w:val="18"/>
          <w:color w:val="auto"/>
        </w:rPr>
        <w:t>, solely for purposes of such conversion, (x) such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Effective Date</w:t>
      </w:r>
      <w:r>
        <w:rPr>
          <w:rFonts w:ascii="Times New Roman" w:cs="Times New Roman" w:eastAsia="Times New Roman" w:hAnsi="Times New Roman"/>
          <w:sz w:val="18"/>
          <w:szCs w:val="18"/>
          <w:color w:val="auto"/>
        </w:rPr>
        <w:t xml:space="preserve">” means (A) with respect to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applicable Redemption Notice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May 15, 2030.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Non-Affiliate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Agent</w:t>
      </w:r>
      <w:r>
        <w:rPr>
          <w:rFonts w:ascii="Times New Roman" w:cs="Times New Roman" w:eastAsia="Times New Roman" w:hAnsi="Times New Roman"/>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7.000% Convertible Senior Notes due 2030 issued by the Company pursuant to this Indenture.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xml:space="preserve">” means, with respect to any Note to be converted, (A)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below, if the Conversion Date for such Note occurs on or before November 15, 2029, the 30 consecutive VWAP Trading Days beginning on, and including, the third VWAP Trading Day immediately after such Conversion Date; (B) if such Conversion Date occurs on or after the date the Company has sent a Redemption Notice calling such Note for Redemption pursuant to </w:t>
      </w:r>
      <w:r>
        <w:rPr>
          <w:rFonts w:ascii="Times New Roman" w:cs="Times New Roman" w:eastAsia="Times New Roman" w:hAnsi="Times New Roman"/>
          <w:sz w:val="18"/>
          <w:szCs w:val="18"/>
          <w:b w:val="1"/>
          <w:bCs w:val="1"/>
          <w:color w:val="auto"/>
        </w:rPr>
        <w:t>Section 4.04(G)</w:t>
      </w:r>
      <w:r>
        <w:rPr>
          <w:rFonts w:ascii="Times New Roman" w:cs="Times New Roman" w:eastAsia="Times New Roman" w:hAnsi="Times New Roman"/>
          <w:sz w:val="18"/>
          <w:szCs w:val="18"/>
          <w:color w:val="auto"/>
        </w:rPr>
        <w:t xml:space="preserve"> and before the related Redemption Date, the 30 consecutive VWAP Trading Days beginning on, and including, the 31st Scheduled Trading Day immediately before such Redemption Date; and (C)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if such Conversion Date occurs after November 15, 2029, the 30 consecutive VWAP Trading Days beginning on, and including, the 31st Scheduled Trading Day immediately before the Maturity Date.</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Chief Executive Officer, the President, the Chief Financial Officer, the Treasurer, the Secretary or any Assistant Secretary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means original issue discount within the meaning of Section 1273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OID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from legal counsel (including an employee of, or counsel to, the Company or any of its Subsidiaries) reasonably acceptable to the Trustee,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subject to customary qualifications and exclusions.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Repurchase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Repurchase Notice</w:t>
      </w:r>
      <w:r>
        <w:rPr>
          <w:rFonts w:ascii="Times New Roman" w:cs="Times New Roman" w:eastAsia="Times New Roman" w:hAnsi="Times New Roman"/>
          <w:sz w:val="18"/>
          <w:szCs w:val="18"/>
          <w:color w:val="auto"/>
        </w:rPr>
        <w:t xml:space="preserve">” means a notice (including a notice substantially in the form of the “Optional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containing the information, or otherwise complying with the requirements, set forth in</w:t>
      </w:r>
      <w:r>
        <w:rPr>
          <w:rFonts w:ascii="Times New Roman" w:cs="Times New Roman" w:eastAsia="Times New Roman" w:hAnsi="Times New Roman"/>
          <w:sz w:val="18"/>
          <w:szCs w:val="18"/>
          <w:b w:val="1"/>
          <w:bCs w:val="1"/>
          <w:color w:val="auto"/>
        </w:rPr>
        <w:t xml:space="preserve"> Section 4.03(E)(i)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4.03(E)(ii)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Repurchase Price</w:t>
      </w:r>
      <w:r>
        <w:rPr>
          <w:rFonts w:ascii="Times New Roman" w:cs="Times New Roman" w:eastAsia="Times New Roman" w:hAnsi="Times New Roman"/>
          <w:sz w:val="18"/>
          <w:szCs w:val="18"/>
          <w:color w:val="auto"/>
        </w:rPr>
        <w:t xml:space="preserve">” means the cash price payable by the Company to repurchase any Note upon an Optional Repurchase, calculated pursuant to </w:t>
      </w:r>
      <w:r>
        <w:rPr>
          <w:rFonts w:ascii="Times New Roman" w:cs="Times New Roman" w:eastAsia="Times New Roman" w:hAnsi="Times New Roman"/>
          <w:sz w:val="18"/>
          <w:szCs w:val="18"/>
          <w:b w:val="1"/>
          <w:bCs w:val="1"/>
          <w:color w:val="auto"/>
        </w:rPr>
        <w:t>Section 4.03(C)</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w:t>
      </w:r>
      <w:r>
        <w:rPr>
          <w:rFonts w:ascii="Times New Roman" w:cs="Times New Roman" w:eastAsia="Times New Roman" w:hAnsi="Times New Roman"/>
          <w:sz w:val="18"/>
          <w:szCs w:val="18"/>
          <w:color w:val="auto"/>
        </w:rPr>
        <w:t xml:space="preserve">” means a Note (other than a Global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Holder of such Note and duly executed by the Company and authenticated by the Trustee.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Common Stock (or such other security) is exchanged for or converted into any combination of cash, securities or other property, the date fixed for determination of holders of Common Stock (or such other security) entitled to receive such cash, securities or other property (whether such date is fixed by the Board of Directors, statute,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means the date fixed, pursuant to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 for the settlement of the repurchase of any Notes by the Company pursuant to a Redemption.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18"/>
          <w:szCs w:val="18"/>
          <w:b w:val="1"/>
          <w:bCs w:val="1"/>
          <w:color w:val="auto"/>
        </w:rPr>
        <w:t>Section 4.04(G)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the cash price payable by the Company to redeem any Note upon its Redemption, calculated pursuant to </w:t>
      </w:r>
      <w:r>
        <w:rPr>
          <w:rFonts w:ascii="Times New Roman" w:cs="Times New Roman" w:eastAsia="Times New Roman" w:hAnsi="Times New Roman"/>
          <w:sz w:val="18"/>
          <w:szCs w:val="18"/>
          <w:b w:val="1"/>
          <w:bCs w:val="1"/>
          <w:color w:val="auto"/>
        </w:rPr>
        <w:t>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4.04(F)</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has the following meaning with respect to an Interest Payment Date: (A) if such Interest Payment Date occurs on May 15, the immediately preceding May 1 (whether or not a Business Day); and (B) if such Interest Payment Date occurs on November 15, the immediately preceding November 1 (whether or not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Legend</w:t>
      </w:r>
      <w:r>
        <w:rPr>
          <w:rFonts w:ascii="Times New Roman" w:cs="Times New Roman" w:eastAsia="Times New Roman" w:hAnsi="Times New Roman"/>
          <w:sz w:val="18"/>
          <w:szCs w:val="18"/>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under the Securities Act (or any successor rule thereto), as the same may be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Cash Settlement or Combination Settlement.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of any Person means any Subsidiary of that Person that constitutes a “significant subsidiary” (as defined in Rule 1-02(w) of Regulation S-X under the Exchange Act) of that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0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xml:space="preserve">” means, with respect to the conversion of a Note to which Combination Settlement applies, the maximum cash amount per $1,000 principal amount of such Note deliverable upon such conversion (excluding cash in lieu of any fractional share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no event will the Specified Dollar Amount be less than $1,000 per $1,000 principal amount of such Note.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18"/>
          <w:szCs w:val="18"/>
          <w:b w:val="1"/>
          <w:bCs w:val="1"/>
          <w:color w:val="auto"/>
        </w:rPr>
        <w:t xml:space="preserve">clause (B) </w:t>
      </w:r>
      <w:r>
        <w:rPr>
          <w:rFonts w:ascii="Times New Roman" w:cs="Times New Roman" w:eastAsia="Times New Roman" w:hAnsi="Times New Roman"/>
          <w:sz w:val="18"/>
          <w:szCs w:val="18"/>
          <w:color w:val="auto"/>
        </w:rPr>
        <w:t>of the definition of “Fundamental Change,” then the Stock Price is the amount of cash paid per share of Common Stock in such Make-Whole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jc w:val="both"/>
        <w:ind w:firstLine="70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Transfer-Restricted Security</w:t>
      </w:r>
      <w:r>
        <w:rPr>
          <w:rFonts w:ascii="Times New Roman" w:cs="Times New Roman" w:eastAsia="Times New Roman" w:hAnsi="Times New Roman"/>
          <w:sz w:val="18"/>
          <w:szCs w:val="18"/>
          <w:color w:val="auto"/>
        </w:rPr>
        <w:t xml:space="preserve">” means any Security that constitutes a “restricted security” (as defined in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207" w:lineRule="exact"/>
        <w:rPr>
          <w:sz w:val="20"/>
          <w:szCs w:val="20"/>
          <w:color w:val="auto"/>
        </w:rPr>
      </w:pPr>
    </w:p>
    <w:p>
      <w:pPr>
        <w:ind w:firstLine="656"/>
        <w:spacing w:after="0" w:line="282" w:lineRule="auto"/>
        <w:tabs>
          <w:tab w:leader="none" w:pos="14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under no obligation to determine whether any Security is a Transfer-Restricted Security and may conclusively rely on an Officer’s Certificate with respect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U.S. Trust Indenture Act of 1939,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such in the first paragraph of this Indenture until a successor replaces it in accordance with the provisions of this Indenture and, thereafter, means such successor.</w:t>
      </w:r>
    </w:p>
    <w:p>
      <w:pPr>
        <w:spacing w:after="0" w:line="155"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firstLine="69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1.02.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tc>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44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Defined in</w:t>
            </w:r>
          </w:p>
        </w:tc>
      </w:tr>
      <w:tr>
        <w:trPr>
          <w:trHeight w:val="24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w:t>
            </w:r>
          </w:p>
        </w:tc>
        <w:tc>
          <w:tcPr>
            <w:tcW w:w="5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5.03(B)</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2.05(B)</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2.05(B)</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4.02(E)</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Repurchase Date</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Repurchase Date Notice</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4.03(D)</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Repurchase Right</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4.03(C)</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4.04(G)</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2.06(B)</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w:t>
            </w:r>
          </w:p>
        </w:tc>
        <w:tc>
          <w:tcPr>
            <w:tcW w:w="6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6.01(A)</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c>
          <w:tcPr>
            <w:tcW w:w="2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w:t>
            </w:r>
          </w:p>
        </w:tc>
        <w:tc>
          <w:tcPr>
            <w:tcW w:w="57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5.05(A)(iii)(1)</w:t>
            </w:r>
          </w:p>
        </w:tc>
        <w:tc>
          <w:tcPr>
            <w:tcW w:w="20" w:type="dxa"/>
            <w:vAlign w:val="bottom"/>
          </w:tcPr>
          <w:p>
            <w:pPr>
              <w:spacing w:after="0"/>
              <w:rPr>
                <w:sz w:val="20"/>
                <w:szCs w:val="20"/>
                <w:color w:val="auto"/>
              </w:rPr>
            </w:pPr>
          </w:p>
        </w:tc>
      </w:tr>
      <w:tr>
        <w:trPr>
          <w:trHeight w:val="535"/>
        </w:trPr>
        <w:tc>
          <w:tcPr>
            <w:tcW w:w="4400" w:type="dxa"/>
            <w:vAlign w:val="bottom"/>
          </w:tcPr>
          <w:p>
            <w:pPr>
              <w:spacing w:after="0"/>
              <w:rPr>
                <w:sz w:val="24"/>
                <w:szCs w:val="24"/>
                <w:color w:val="auto"/>
              </w:rPr>
            </w:pPr>
          </w:p>
        </w:tc>
        <w:tc>
          <w:tcPr>
            <w:tcW w:w="5720" w:type="dxa"/>
            <w:vAlign w:val="bottom"/>
          </w:tcPr>
          <w:p>
            <w:pPr>
              <w:jc w:val="right"/>
              <w:ind w:right="4259"/>
              <w:spacing w:after="0"/>
              <w:rPr>
                <w:sz w:val="20"/>
                <w:szCs w:val="20"/>
                <w:color w:val="auto"/>
              </w:rPr>
            </w:pPr>
            <w:r>
              <w:rPr>
                <w:rFonts w:ascii="Times New Roman" w:cs="Times New Roman" w:eastAsia="Times New Roman" w:hAnsi="Times New Roman"/>
                <w:sz w:val="14"/>
                <w:szCs w:val="14"/>
                <w:color w:val="auto"/>
              </w:rPr>
              <w:t>- 13 -</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
        </w:trPr>
        <w:tc>
          <w:tcPr>
            <w:tcW w:w="4400" w:type="dxa"/>
            <w:vAlign w:val="bottom"/>
            <w:tcBorders>
              <w:bottom w:val="single" w:sz="8" w:color="auto"/>
            </w:tcBorders>
          </w:tcPr>
          <w:p>
            <w:pPr>
              <w:spacing w:after="0"/>
              <w:rPr>
                <w:sz w:val="3"/>
                <w:szCs w:val="3"/>
                <w:color w:val="auto"/>
              </w:rPr>
            </w:pPr>
          </w:p>
        </w:tc>
        <w:tc>
          <w:tcPr>
            <w:tcW w:w="5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2" w:name="page23"/>
    <w:bookmarkEnd w:id="2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1.03.</w:t>
        <w:tab/>
        <w:t>R</w:t>
      </w:r>
      <w:r>
        <w:rPr>
          <w:rFonts w:ascii="Times New Roman" w:cs="Times New Roman" w:eastAsia="Times New Roman" w:hAnsi="Times New Roman"/>
          <w:sz w:val="12"/>
          <w:szCs w:val="12"/>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onstruction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Indenture:</w:t>
      </w:r>
    </w:p>
    <w:p>
      <w:pPr>
        <w:spacing w:after="0" w:line="225" w:lineRule="exact"/>
        <w:rPr>
          <w:sz w:val="20"/>
          <w:szCs w:val="20"/>
          <w:color w:val="auto"/>
        </w:rPr>
      </w:pPr>
    </w:p>
    <w:p>
      <w:pPr>
        <w:ind w:left="1320" w:hanging="66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schedules and other attachments to this Indenture are deemed to form part of this Indenture; and</w:t>
      </w:r>
    </w:p>
    <w:p>
      <w:pPr>
        <w:spacing w:after="0" w:line="221" w:lineRule="exact"/>
        <w:rPr>
          <w:rFonts w:ascii="Times New Roman" w:cs="Times New Roman" w:eastAsia="Times New Roman" w:hAnsi="Times New Roman"/>
          <w:sz w:val="18"/>
          <w:szCs w:val="18"/>
          <w:color w:val="auto"/>
        </w:rPr>
      </w:pPr>
    </w:p>
    <w:p>
      <w:pPr>
        <w:ind w:firstLine="656"/>
        <w:spacing w:after="0" w:line="286" w:lineRule="auto"/>
        <w:tabs>
          <w:tab w:leader="none" w:pos="12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 Note, includes any Default Interest, Additional Interest and Special Interest, unless the context requires otherwise.</w:t>
      </w:r>
    </w:p>
    <w:p>
      <w:pPr>
        <w:spacing w:after="0" w:line="155" w:lineRule="exact"/>
        <w:rPr>
          <w:sz w:val="20"/>
          <w:szCs w:val="20"/>
          <w:color w:val="auto"/>
        </w:rPr>
      </w:pPr>
    </w:p>
    <w:p>
      <w:pPr>
        <w:ind w:left="4520"/>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8"/>
          <w:szCs w:val="18"/>
          <w:b w:val="1"/>
          <w:bCs w:val="1"/>
          <w:color w:val="auto"/>
        </w:rPr>
        <w:t>THE NOTES</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2.01.</w:t>
        <w:tab/>
        <w:t>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ating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enominations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will be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Notes will bear the legends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and may bear notations, legends or endorsements required by law, stock exchange rule or usage or the Depositary. Each Note will be dated as of the date of its authentication.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certificate representing a Note will bear a unique registration number that is not affixed to any other certificate representing another outstanding Note.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any provision of any Note conflicts with the provisions of this Indenture, the provisions of this Indenture will control for purposes of this Indenture and such Note.</w:t>
      </w:r>
    </w:p>
    <w:p>
      <w:pPr>
        <w:spacing w:after="0" w:line="17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2.02.</w:t>
        <w:tab/>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uthentication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elivery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3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Execution by the Company</w:t>
      </w:r>
      <w:r>
        <w:rPr>
          <w:rFonts w:ascii="Times New Roman" w:cs="Times New Roman" w:eastAsia="Times New Roman" w:hAnsi="Times New Roman"/>
          <w:sz w:val="18"/>
          <w:szCs w:val="18"/>
          <w:color w:val="auto"/>
        </w:rPr>
        <w:t>. At least one (1) duly authorized Officer will sign the Notes on behalf of the Company by manual,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or facsimile signature. A Note’s validity will not be affected by the failure of any Officer whose signature is on any Note to hold, at the time such Note is authenticated, the same or any other office at the Company.</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 by the Trustee and Delivery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firstLine="644"/>
        <w:spacing w:after="0" w:line="282" w:lineRule="auto"/>
        <w:tabs>
          <w:tab w:leader="none" w:pos="20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8"/>
          <w:szCs w:val="18"/>
          <w:b w:val="1"/>
          <w:bCs w:val="1"/>
          <w:color w:val="auto"/>
        </w:rPr>
        <w:t>Section 2.02(A)</w:t>
      </w:r>
      <w:r>
        <w:rPr>
          <w:rFonts w:ascii="Times New Roman" w:cs="Times New Roman" w:eastAsia="Times New Roman" w:hAnsi="Times New Roman"/>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2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2.03.</w:t>
        <w:tab/>
        <w:t>I</w:t>
      </w:r>
      <w:r>
        <w:rPr>
          <w:rFonts w:ascii="Times New Roman" w:cs="Times New Roman" w:eastAsia="Times New Roman" w:hAnsi="Times New Roman"/>
          <w:sz w:val="12"/>
          <w:szCs w:val="12"/>
          <w:b w:val="1"/>
          <w:bCs w:val="1"/>
          <w:color w:val="auto"/>
        </w:rPr>
        <w:t>nitial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2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On the Issue Date, there will be originally issued three hundred and twenty five million dollars ($325,000,000)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amount of Notes, 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Notes issued pursuant to this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and any Notes issued in exchange therefor or in substitution thereof, are referred to in this Indenture as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Without the consent of any Holder, the Company may, subject to the provisions of this Indenture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 originally issue additional Notes with the same terms as the Initial Notes (except, to the extent applicable, with respect to the date as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begins to accrue on such additional Notes and the first Interest Payment Date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additional Notes (and any Notes that are resold after such Notes have been purchased or otherwise acquired by the Company or its Subsidiaries) that are not fungible with other Notes issued under this Indenture for purposes of U.S. federal income tax or federal securities laws or, if applicable, the Depositary Procedures, will be identified by a separate CUSIP number or by no CUSIP number.</w:t>
      </w:r>
    </w:p>
    <w:p>
      <w:pPr>
        <w:spacing w:after="0" w:line="18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2.04.</w:t>
        <w:tab/>
        <w:t>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2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Optional Repurchase on the Optional Repurchase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Optional Repurchase on the Optional Repurchase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36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2.05.</w:t>
        <w:tab/>
        <w:t>A</w:t>
      </w:r>
      <w:r>
        <w:rPr>
          <w:rFonts w:ascii="Times New Roman" w:cs="Times New Roman" w:eastAsia="Times New Roman" w:hAnsi="Times New Roman"/>
          <w:sz w:val="12"/>
          <w:szCs w:val="12"/>
          <w:b w:val="1"/>
          <w:bCs w:val="1"/>
          <w:color w:val="auto"/>
        </w:rPr>
        <w:t>ccrual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efaulted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mounts</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4" w:lineRule="auto"/>
        <w:tabs>
          <w:tab w:leader="none" w:pos="13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Interest</w:t>
      </w:r>
      <w:r>
        <w:rPr>
          <w:rFonts w:ascii="Times New Roman" w:cs="Times New Roman" w:eastAsia="Times New Roman" w:hAnsi="Times New Roman"/>
          <w:sz w:val="18"/>
          <w:szCs w:val="18"/>
          <w:color w:val="auto"/>
        </w:rPr>
        <w:t>. Each Note will accrue interest at a rate per annum equal to 7.000%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plus any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and Special Interest that may accrue pursuant to </w:t>
      </w:r>
      <w:r>
        <w:rPr>
          <w:rFonts w:ascii="Times New Roman" w:cs="Times New Roman" w:eastAsia="Times New Roman" w:hAnsi="Times New Roman"/>
          <w:sz w:val="18"/>
          <w:szCs w:val="18"/>
          <w:b w:val="1"/>
          <w:bCs w:val="1"/>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4.04(F)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Defaulted Amounts</w:t>
      </w:r>
      <w:r>
        <w:rPr>
          <w:rFonts w:ascii="Times New Roman" w:cs="Times New Roman" w:eastAsia="Times New Roman" w:hAnsi="Times New Roman"/>
          <w:sz w:val="18"/>
          <w:szCs w:val="18"/>
          <w:color w:val="auto"/>
        </w:rPr>
        <w:t>. If the Company fails to pay any amount (a “</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 payable on a Note on or before the due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90"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a Note as provided in this Indenture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 for Global Notes</w:t>
      </w:r>
      <w:r>
        <w:rPr>
          <w:rFonts w:ascii="Times New Roman" w:cs="Times New Roman" w:eastAsia="Times New Roman" w:hAnsi="Times New Roman"/>
          <w:sz w:val="18"/>
          <w:szCs w:val="18"/>
          <w:color w:val="auto"/>
        </w:rPr>
        <w:t>. If the first date on which any Additional Interest or Special Interest begins to accrue on a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on or after the fifth (5th) Business Day before a Regular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w:t>
      </w:r>
    </w:p>
    <w:p>
      <w:pPr>
        <w:spacing w:after="0" w:line="35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2.06.</w:t>
        <w:tab/>
        <w:t>R</w:t>
      </w:r>
      <w:r>
        <w:rPr>
          <w:rFonts w:ascii="Times New Roman" w:cs="Times New Roman" w:eastAsia="Times New Roman" w:hAnsi="Times New Roman"/>
          <w:sz w:val="12"/>
          <w:szCs w:val="12"/>
          <w:b w:val="1"/>
          <w:bCs w:val="1"/>
          <w:color w:val="auto"/>
        </w:rPr>
        <w:t>egistrar</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7" w:lineRule="auto"/>
        <w:tabs>
          <w:tab w:leader="none" w:pos="14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maintain (i) an office or agency in the continental United States where Notes may be presented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(ii) an office or agency in the continental United States where Notes may be presented for payment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(iii) an office or agency in the continental United States where Notes may be presented for conversion (the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w:t>
      </w:r>
    </w:p>
    <w:p>
      <w:pPr>
        <w:spacing w:after="0" w:line="18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Duties of the Registrar</w:t>
      </w:r>
      <w:r>
        <w:rPr>
          <w:rFonts w:ascii="Times New Roman" w:cs="Times New Roman" w:eastAsia="Times New Roman" w:hAnsi="Times New Roman"/>
          <w:sz w:val="18"/>
          <w:szCs w:val="18"/>
          <w:color w:val="auto"/>
        </w:rPr>
        <w:t>. The Registrar will keep a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 addresses of the Holders, the Notes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78" w:lineRule="exact"/>
        <w:rPr>
          <w:rFonts w:ascii="Times New Roman" w:cs="Times New Roman" w:eastAsia="Times New Roman" w:hAnsi="Times New Roman"/>
          <w:sz w:val="18"/>
          <w:szCs w:val="18"/>
          <w:color w:val="auto"/>
        </w:rPr>
      </w:pPr>
    </w:p>
    <w:p>
      <w:pPr>
        <w:jc w:val="both"/>
        <w:ind w:firstLine="656"/>
        <w:spacing w:after="0" w:line="257" w:lineRule="auto"/>
        <w:tabs>
          <w:tab w:leader="none" w:pos="12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Co-Agents; Company’s Right to Appoint Successor Registrars, Paying Agents and Conversion Agents</w:t>
      </w:r>
      <w:r>
        <w:rPr>
          <w:rFonts w:ascii="Times New Roman" w:cs="Times New Roman" w:eastAsia="Times New Roman" w:hAnsi="Times New Roman"/>
          <w:sz w:val="18"/>
          <w:szCs w:val="18"/>
          <w:color w:val="auto"/>
        </w:rPr>
        <w:t>. The Company may appoint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82"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Appointments</w:t>
      </w:r>
      <w:r>
        <w:rPr>
          <w:rFonts w:ascii="Times New Roman" w:cs="Times New Roman" w:eastAsia="Times New Roman" w:hAnsi="Times New Roman"/>
          <w:sz w:val="18"/>
          <w:szCs w:val="18"/>
          <w:color w:val="auto"/>
        </w:rPr>
        <w:t>. The Company appoints the Trustee as the initial Paying Agent, the initial Registrar and the initial Conversion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37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2.07.</w:t>
        <w:tab/>
        <w:t>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to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roperty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18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2.08.</w:t>
        <w:tab/>
        <w:t>H</w:t>
      </w:r>
      <w:r>
        <w:rPr>
          <w:rFonts w:ascii="Times New Roman" w:cs="Times New Roman" w:eastAsia="Times New Roman" w:hAnsi="Times New Roman"/>
          <w:sz w:val="12"/>
          <w:szCs w:val="12"/>
          <w:b w:val="1"/>
          <w:bCs w:val="1"/>
          <w:color w:val="auto"/>
        </w:rPr>
        <w:t>older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7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2.09.</w:t>
        <w:tab/>
        <w:t>L</w:t>
      </w:r>
      <w:r>
        <w:rPr>
          <w:rFonts w:ascii="Times New Roman" w:cs="Times New Roman" w:eastAsia="Times New Roman" w:hAnsi="Times New Roman"/>
          <w:sz w:val="12"/>
          <w:szCs w:val="12"/>
          <w:b w:val="1"/>
          <w:bCs w:val="1"/>
          <w:color w:val="auto"/>
        </w:rPr>
        <w:t>egends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0" w:firstLine="656"/>
        <w:spacing w:after="0" w:line="284" w:lineRule="auto"/>
        <w:tabs>
          <w:tab w:leader="none" w:pos="13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the Global Note Legend (or any similar legend, not inconsistent with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the Depositary for such Global Note).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Non-Affiliate Legend</w:t>
      </w:r>
      <w:r>
        <w:rPr>
          <w:rFonts w:ascii="Times New Roman" w:cs="Times New Roman" w:eastAsia="Times New Roman" w:hAnsi="Times New Roman"/>
          <w:sz w:val="18"/>
          <w:szCs w:val="18"/>
          <w:color w:val="auto"/>
        </w:rPr>
        <w:t>. Each Note will bear the Non-Affiliate Legend.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Note Legend</w:t>
      </w:r>
      <w:r>
        <w:rPr>
          <w:rFonts w:ascii="Times New Roman" w:cs="Times New Roman" w:eastAsia="Times New Roman" w:hAnsi="Times New Roman"/>
          <w:sz w:val="18"/>
          <w:szCs w:val="18"/>
          <w:color w:val="auto"/>
        </w:rPr>
        <w:t>. Subject to the other provisions of this Indenture,</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that is a Transfer-Restricted Security will bear the Restricted Note Legend;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18"/>
          <w:szCs w:val="18"/>
          <w:b w:val="1"/>
          <w:bCs w:val="1"/>
          <w:color w:val="auto"/>
        </w:rPr>
        <w:t>Section 2.09(C)(ii)</w:t>
      </w:r>
      <w:r>
        <w:rPr>
          <w:rFonts w:ascii="Times New Roman" w:cs="Times New Roman" w:eastAsia="Times New Roman" w:hAnsi="Times New Roman"/>
          <w:sz w:val="18"/>
          <w:szCs w:val="18"/>
          <w:color w:val="auto"/>
        </w:rPr>
        <w:t xml:space="preserve">), including pursuant to Section </w:t>
      </w:r>
      <w:r>
        <w:rPr>
          <w:rFonts w:ascii="Times New Roman" w:cs="Times New Roman" w:eastAsia="Times New Roman" w:hAnsi="Times New Roman"/>
          <w:sz w:val="18"/>
          <w:szCs w:val="18"/>
          <w:b w:val="1"/>
          <w:bCs w:val="1"/>
          <w:color w:val="auto"/>
        </w:rPr>
        <w:t>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OID Legend</w:t>
      </w:r>
      <w:r>
        <w:rPr>
          <w:rFonts w:ascii="Times New Roman" w:cs="Times New Roman" w:eastAsia="Times New Roman" w:hAnsi="Times New Roman"/>
          <w:sz w:val="18"/>
          <w:szCs w:val="18"/>
          <w:color w:val="auto"/>
        </w:rPr>
        <w:t>. If issued with original discount for U.S. federal income tax purposes, each Note will bear the OID Legend.</w:t>
      </w:r>
    </w:p>
    <w:p>
      <w:pPr>
        <w:spacing w:after="0" w:line="225" w:lineRule="exact"/>
        <w:rPr>
          <w:rFonts w:ascii="Times New Roman" w:cs="Times New Roman" w:eastAsia="Times New Roman" w:hAnsi="Times New Roman"/>
          <w:sz w:val="18"/>
          <w:szCs w:val="18"/>
          <w:color w:val="auto"/>
        </w:rPr>
      </w:pPr>
    </w:p>
    <w:p>
      <w:pPr>
        <w:ind w:firstLine="656"/>
        <w:spacing w:after="0" w:line="284" w:lineRule="auto"/>
        <w:tabs>
          <w:tab w:leader="none" w:pos="12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Legends</w:t>
      </w:r>
      <w:r>
        <w:rPr>
          <w:rFonts w:ascii="Times New Roman" w:cs="Times New Roman" w:eastAsia="Times New Roman" w:hAnsi="Times New Roman"/>
          <w:sz w:val="18"/>
          <w:szCs w:val="18"/>
          <w:color w:val="auto"/>
        </w:rPr>
        <w:t>. A Note may bear any other legend or text, not inconsistent with this Indenture, as may be required by applicable law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exchange or automated quotation system on which such Note is traded or quoted.</w:t>
      </w:r>
    </w:p>
    <w:p>
      <w:pPr>
        <w:spacing w:after="0" w:line="33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ind w:right="20" w:firstLine="656"/>
        <w:spacing w:after="0" w:line="286" w:lineRule="auto"/>
        <w:tabs>
          <w:tab w:leader="none" w:pos="13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Acknowledgment and Agreement by the Holders</w:t>
      </w:r>
      <w:r>
        <w:rPr>
          <w:rFonts w:ascii="Times New Roman" w:cs="Times New Roman" w:eastAsia="Times New Roman" w:hAnsi="Times New Roman"/>
          <w:sz w:val="18"/>
          <w:szCs w:val="18"/>
          <w:color w:val="auto"/>
        </w:rPr>
        <w:t>. A Holder’s acceptance of any Note bearing any legend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constitute such Holder’s acknowledgment of, and agreement to comply with, the restrictions set forth in such legend.</w:t>
      </w:r>
    </w:p>
    <w:p>
      <w:pPr>
        <w:spacing w:after="0" w:line="15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Legend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8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Conversion Share need not bear the Restricted Stock Legend if the Company determines, in its reasonable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Conversion Share need not bear the Restricted Stock Legend.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8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2.09(G)</w:t>
      </w:r>
      <w:r>
        <w:rPr>
          <w:rFonts w:ascii="Times New Roman" w:cs="Times New Roman" w:eastAsia="Times New Roman" w:hAnsi="Times New Roman"/>
          <w:sz w:val="18"/>
          <w:szCs w:val="18"/>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2.10.</w:t>
        <w:tab/>
        <w:t>T</w:t>
      </w:r>
      <w:r>
        <w:rPr>
          <w:rFonts w:ascii="Times New Roman" w:cs="Times New Roman" w:eastAsia="Times New Roman" w:hAnsi="Times New Roman"/>
          <w:sz w:val="12"/>
          <w:szCs w:val="12"/>
          <w:b w:val="1"/>
          <w:bCs w:val="1"/>
          <w:color w:val="auto"/>
        </w:rPr>
        <w:t>ransfers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estrictions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Provisions Applicable to All Transfers and Exchanges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firstLine="644"/>
        <w:spacing w:after="0" w:line="286" w:lineRule="auto"/>
        <w:tabs>
          <w:tab w:leader="none" w:pos="19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Physical Notes and beneficial interests in Global Notes may be transferred or exchanged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and the Registrar will record each such transfer or exchange in the Register.</w:t>
      </w:r>
    </w:p>
    <w:p>
      <w:pPr>
        <w:spacing w:after="0" w:line="15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Transferred and Exchanged Notes Remain Valid Obligations of the Company</w:t>
      </w:r>
      <w:r>
        <w:rPr>
          <w:rFonts w:ascii="Times New Roman" w:cs="Times New Roman" w:eastAsia="Times New Roman" w:hAnsi="Times New Roman"/>
          <w:sz w:val="18"/>
          <w:szCs w:val="18"/>
          <w:color w:val="auto"/>
        </w:rPr>
        <w:t>. Each Note issued upon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Note (such other Note being referred to as the “old Note” for purposes of this </w:t>
      </w:r>
      <w:r>
        <w:rPr>
          <w:rFonts w:ascii="Times New Roman" w:cs="Times New Roman" w:eastAsia="Times New Roman" w:hAnsi="Times New Roman"/>
          <w:sz w:val="18"/>
          <w:szCs w:val="18"/>
          <w:b w:val="1"/>
          <w:bCs w:val="1"/>
          <w:color w:val="auto"/>
        </w:rPr>
        <w:t>Section 2.10(A)(ii)</w:t>
      </w:r>
      <w:r>
        <w:rPr>
          <w:rFonts w:ascii="Times New Roman" w:cs="Times New Roman" w:eastAsia="Times New Roman" w:hAnsi="Times New Roman"/>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6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Services Charge; Transfer Taxes</w:t>
      </w:r>
      <w:r>
        <w:rPr>
          <w:rFonts w:ascii="Times New Roman" w:cs="Times New Roman" w:eastAsia="Times New Roman" w:hAnsi="Times New Roman"/>
          <w:sz w:val="18"/>
          <w:szCs w:val="18"/>
          <w:color w:val="auto"/>
        </w:rPr>
        <w:t>. The Company, the Trustee and the Note Agents will not impose any service charge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8.05</w:t>
      </w:r>
      <w:r>
        <w:rPr>
          <w:rFonts w:ascii="Times New Roman" w:cs="Times New Roman" w:eastAsia="Times New Roman" w:hAnsi="Times New Roman"/>
          <w:sz w:val="18"/>
          <w:szCs w:val="18"/>
          <w:color w:val="auto"/>
        </w:rPr>
        <w:t xml:space="preserve"> not involving any transfer.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9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Must Be in Authorized Denominations</w:t>
      </w:r>
      <w:r>
        <w:rPr>
          <w:rFonts w:ascii="Times New Roman" w:cs="Times New Roman" w:eastAsia="Times New Roman" w:hAnsi="Times New Roman"/>
          <w:sz w:val="18"/>
          <w:szCs w:val="18"/>
          <w:color w:val="auto"/>
        </w:rPr>
        <w:t>. Notwithstanding anything to the contrary in this Indenture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a Note may not be transferred or exchanged in part unless the portion to be so transferred or exchanged is in an Authorized Denomination.</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both"/>
        <w:ind w:left="4" w:firstLine="644"/>
        <w:spacing w:after="0" w:line="261" w:lineRule="auto"/>
        <w:tabs>
          <w:tab w:leader="none" w:pos="12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will have no obligation or duty to monitor, determine or inquire as to compliance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77" w:lineRule="exact"/>
        <w:rPr>
          <w:rFonts w:ascii="Times New Roman" w:cs="Times New Roman" w:eastAsia="Times New Roman" w:hAnsi="Times New Roman"/>
          <w:sz w:val="18"/>
          <w:szCs w:val="18"/>
          <w:color w:val="auto"/>
        </w:rPr>
      </w:pPr>
    </w:p>
    <w:p>
      <w:pPr>
        <w:ind w:left="1344" w:hanging="696"/>
        <w:spacing w:after="0"/>
        <w:tabs>
          <w:tab w:leader="none" w:pos="13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Note issued upon transfer of, or in exchange for, another Note will bear each legend, if any,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2.09</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12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Transfers and Exchanges</w:t>
      </w:r>
      <w:r>
        <w:rPr>
          <w:rFonts w:ascii="Times New Roman" w:cs="Times New Roman" w:eastAsia="Times New Roman" w:hAnsi="Times New Roman"/>
          <w:sz w:val="18"/>
          <w:szCs w:val="18"/>
          <w:color w:val="auto"/>
        </w:rPr>
        <w:t>. Upon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Note, the Company will cause such transfer or exchange to be effected as soon as reasonably practicable but in no event later than the second (2nd) Business Day after the date of such satisfaction.</w:t>
      </w:r>
    </w:p>
    <w:p>
      <w:pPr>
        <w:spacing w:after="0" w:line="171" w:lineRule="exact"/>
        <w:rPr>
          <w:rFonts w:ascii="Times New Roman" w:cs="Times New Roman" w:eastAsia="Times New Roman" w:hAnsi="Times New Roman"/>
          <w:sz w:val="18"/>
          <w:szCs w:val="18"/>
          <w:color w:val="auto"/>
        </w:rPr>
      </w:pPr>
    </w:p>
    <w:p>
      <w:pPr>
        <w:jc w:val="both"/>
        <w:ind w:left="4" w:firstLine="644"/>
        <w:spacing w:after="0" w:line="262" w:lineRule="auto"/>
        <w:tabs>
          <w:tab w:leader="none" w:pos="12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For the avoidance of doubt, and subject to the terms of this Indenture,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7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Global Notes.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32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r>
        <w:rPr>
          <w:rFonts w:ascii="Times New Roman" w:cs="Times New Roman" w:eastAsia="Times New Roman" w:hAnsi="Times New Roman"/>
          <w:sz w:val="18"/>
          <w:szCs w:val="18"/>
          <w:color w:val="auto"/>
        </w:rPr>
        <w:t>. Subject to the immediately following sentence, no Global Note may be transferred or exchanged in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Global Note will be exchanged, pursuant to customary procedures, for one or more Physical Notes if:</w:t>
      </w:r>
    </w:p>
    <w:p>
      <w:pPr>
        <w:spacing w:after="0" w:line="18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16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75" w:lineRule="exact"/>
        <w:rPr>
          <w:rFonts w:ascii="Times New Roman" w:cs="Times New Roman" w:eastAsia="Times New Roman" w:hAnsi="Times New Roman"/>
          <w:sz w:val="18"/>
          <w:szCs w:val="18"/>
          <w:color w:val="auto"/>
        </w:rPr>
      </w:pPr>
    </w:p>
    <w:p>
      <w:pPr>
        <w:jc w:val="both"/>
        <w:ind w:left="644" w:right="20" w:firstLine="652"/>
        <w:spacing w:after="0" w:line="266" w:lineRule="auto"/>
        <w:tabs>
          <w:tab w:leader="none" w:pos="21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951"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permits the exchange of any beneficial interest in such Global Note for one or more Physical Notes at the request of the owner of such beneficial interest.</w:t>
      </w:r>
    </w:p>
    <w:p>
      <w:pPr>
        <w:spacing w:after="0" w:line="332"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30" w:name="page31"/>
    <w:bookmarkEnd w:id="30"/>
    <w:p>
      <w:pPr>
        <w:ind w:left="4" w:right="20" w:firstLine="644"/>
        <w:spacing w:after="0" w:line="284" w:lineRule="auto"/>
        <w:tabs>
          <w:tab w:leader="none" w:pos="13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Global Note (or any portion thereof):</w:t>
      </w:r>
    </w:p>
    <w:p>
      <w:pPr>
        <w:spacing w:after="0" w:line="160"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90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17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205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Global Note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2073"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one or more Physical Notes that (x) are in Authorized Denominations and have an aggregate principal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firstLine="644"/>
        <w:spacing w:after="0" w:line="284" w:lineRule="auto"/>
        <w:tabs>
          <w:tab w:leader="none" w:pos="12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Depositary Procedures</w:t>
      </w:r>
      <w:r>
        <w:rPr>
          <w:rFonts w:ascii="Times New Roman" w:cs="Times New Roman" w:eastAsia="Times New Roman" w:hAnsi="Times New Roman"/>
          <w:sz w:val="18"/>
          <w:szCs w:val="18"/>
          <w:color w:val="auto"/>
        </w:rPr>
        <w:t>. Each transfer or exchange of a beneficial interest in any Global Note will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Depositary Procedures.</w:t>
      </w:r>
    </w:p>
    <w:p>
      <w:pPr>
        <w:spacing w:after="0" w:line="15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Physical Notes.</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Transfers and Exchanges</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 Holder of a Physical Note may (x) transfer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effect any such transfer or exchange, such Holder must:</w:t>
      </w:r>
    </w:p>
    <w:p>
      <w:pPr>
        <w:spacing w:after="0" w:line="357"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31" w:name="page32"/>
    <w:bookmarkEnd w:id="31"/>
    <w:p>
      <w:pPr>
        <w:ind w:left="180" w:firstLine="652"/>
        <w:spacing w:after="0" w:line="282" w:lineRule="auto"/>
        <w:tabs>
          <w:tab w:leader="none" w:pos="17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157"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such certificates, documentation or evidence as may be required pursuant to </w:t>
      </w:r>
      <w:r>
        <w:rPr>
          <w:rFonts w:ascii="Times New Roman" w:cs="Times New Roman" w:eastAsia="Times New Roman" w:hAnsi="Times New Roman"/>
          <w:sz w:val="18"/>
          <w:szCs w:val="18"/>
          <w:b w:val="1"/>
          <w:bCs w:val="1"/>
          <w:color w:val="auto"/>
        </w:rPr>
        <w:t>Section 2.10(D)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8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the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Physical Note (such Physical Note being referred to as the “old Physical Note” for purposes of this </w:t>
      </w:r>
      <w:r>
        <w:rPr>
          <w:rFonts w:ascii="Times New Roman" w:cs="Times New Roman" w:eastAsia="Times New Roman" w:hAnsi="Times New Roman"/>
          <w:sz w:val="18"/>
          <w:szCs w:val="18"/>
          <w:b w:val="1"/>
          <w:bCs w:val="1"/>
          <w:color w:val="auto"/>
        </w:rPr>
        <w:t>Section 2.10(C)(ii)</w:t>
      </w:r>
      <w:r>
        <w:rPr>
          <w:rFonts w:ascii="Times New Roman" w:cs="Times New Roman" w:eastAsia="Times New Roman" w:hAnsi="Times New Roman"/>
          <w:sz w:val="18"/>
          <w:szCs w:val="18"/>
          <w:color w:val="auto"/>
        </w:rPr>
        <w:t>) of a Holder (or any portion of such old Physical Note in an Authorized Denomination):</w:t>
      </w:r>
    </w:p>
    <w:p>
      <w:pPr>
        <w:spacing w:after="0" w:line="171"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old Physical Note will be promptly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224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360"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3"/>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2" w:name="page33"/>
    <w:bookmarkEnd w:id="32"/>
    <w:p>
      <w:pPr>
        <w:jc w:val="both"/>
        <w:ind w:left="1960" w:firstLine="640"/>
        <w:spacing w:after="0" w:line="258" w:lineRule="auto"/>
        <w:tabs>
          <w:tab w:leader="none" w:pos="3281"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58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firstLine="656"/>
        <w:spacing w:after="0" w:line="284" w:lineRule="auto"/>
        <w:tabs>
          <w:tab w:leader="none" w:pos="1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 to Deliver Documentation and Other Evidence</w:t>
      </w:r>
      <w:r>
        <w:rPr>
          <w:rFonts w:ascii="Times New Roman" w:cs="Times New Roman" w:eastAsia="Times New Roman" w:hAnsi="Times New Roman"/>
          <w:sz w:val="18"/>
          <w:szCs w:val="18"/>
          <w:color w:val="auto"/>
        </w:rPr>
        <w:t>. If a Holder of any Note that is identified by a “restricted” CUSIP number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bears a Restricted Note Legend or is a Transfer-Restricted Security requests to:</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Note to be identified by an “unrestricted” CUSIP number;</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such Restricted Note Legend; or</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such Note to the name of another Person,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to determine that such identification, removal or transfer, as applicable, complies with the Securities Act and other applicable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without limiting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 no such certificates, documentation or evidence (other than, in the case of the following clause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 a written request in the form contemplated by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 need be so delivered (w) on or and after the date that is six (6) months after the Last Original Issue Date of such Note if the requirements of Rule 144(c) and (i) are then satisfied with respect to the Company; (x) in connection with any transfer of such Note pursuant to Rule 144A; (y) in connection with any transfer of such Note to the Company or one of its Subsidiaries; or (z) in connection with any transfer of such Note pursuant to an effective registration statement under the Securities Act.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656"/>
        <w:spacing w:after="0" w:line="256" w:lineRule="auto"/>
        <w:tabs>
          <w:tab w:leader="none" w:pos="12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De-Legending Procedures</w:t>
      </w:r>
      <w:r>
        <w:rPr>
          <w:rFonts w:ascii="Times New Roman" w:cs="Times New Roman" w:eastAsia="Times New Roman" w:hAnsi="Times New Roman"/>
          <w:sz w:val="18"/>
          <w:szCs w:val="18"/>
          <w:color w:val="auto"/>
        </w:rPr>
        <w:t>. If a Holder of any Note or share of Common Stock issued upon conversion of any Note, or an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beneficial interest in any Global Note, or in a global certificate representing any share of Common Stock issued upon conversion of any Note, transfers such Note or share in compliance with Rule 144 and delivers to the Company a written request, certifying that it is not, and has not been at any time during the preceding three (3) months, an Affiliate of the Company, 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such occurrence within two (2) Trading Days of such request.</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of Notes Subject to Redemption, Repurchase or Conversion</w:t>
      </w:r>
      <w:r>
        <w:rPr>
          <w:rFonts w:ascii="Times New Roman" w:cs="Times New Roman" w:eastAsia="Times New Roman" w:hAnsi="Times New Roman"/>
          <w:sz w:val="18"/>
          <w:szCs w:val="18"/>
          <w:color w:val="auto"/>
        </w:rPr>
        <w:t>. Notwithstanding anything to the contrary in this Indenture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or Optional Repurchase Notice validly delivered, and not withdrawn, pursuant to </w:t>
      </w:r>
      <w:r>
        <w:rPr>
          <w:rFonts w:ascii="Times New Roman" w:cs="Times New Roman" w:eastAsia="Times New Roman" w:hAnsi="Times New Roman"/>
          <w:sz w:val="18"/>
          <w:szCs w:val="18"/>
          <w:b w:val="1"/>
          <w:bCs w:val="1"/>
          <w:color w:val="auto"/>
        </w:rPr>
        <w:t>Section 4.02(F) or 4.03(E)</w:t>
      </w:r>
      <w:r>
        <w:rPr>
          <w:rFonts w:ascii="Times New Roman" w:cs="Times New Roman" w:eastAsia="Times New Roman" w:hAnsi="Times New Roman"/>
          <w:sz w:val="18"/>
          <w:szCs w:val="18"/>
          <w:color w:val="auto"/>
        </w:rPr>
        <w:t>, respectively, except to the extent that any portion of such Note is not subject to such notice or the Company fails to pay the applicable Fundamental Change Repurchase Price or Optional Repurchase Price, as applicable, when due; or (iii) has been selected for Redemption pursuant to a Redemption Notice, except to the extent that any portion of such Note is not subject to Redemption or the Company fails to pay the applicable Redemption Price when due.</w:t>
      </w:r>
    </w:p>
    <w:p>
      <w:pPr>
        <w:spacing w:after="0" w:line="1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Section 2.11. E</w:t>
      </w:r>
      <w:r>
        <w:rPr>
          <w:rFonts w:ascii="Times New Roman" w:cs="Times New Roman" w:eastAsia="Times New Roman" w:hAnsi="Times New Roman"/>
          <w:sz w:val="12"/>
          <w:szCs w:val="12"/>
          <w:b w:val="1"/>
          <w:bCs w:val="1"/>
          <w:color w:val="auto"/>
        </w:rPr>
        <w:t>xchange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ancellation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onverted or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ursuant to 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ptional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 or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edemption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23" w:lineRule="exact"/>
        <w:rPr>
          <w:sz w:val="20"/>
          <w:szCs w:val="20"/>
          <w:color w:val="auto"/>
        </w:rPr>
      </w:pPr>
    </w:p>
    <w:p>
      <w:pPr>
        <w:jc w:val="both"/>
        <w:ind w:firstLine="656"/>
        <w:spacing w:after="0" w:line="254" w:lineRule="auto"/>
        <w:tabs>
          <w:tab w:leader="none" w:pos="12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Conversions of Physical Notes and Partial Repurchases of Physical Notes Pursuant to a Repurchase Upon Fundamental Change, Optional Repurchase or Redemption</w:t>
      </w:r>
      <w:r>
        <w:rPr>
          <w:rFonts w:ascii="Times New Roman" w:cs="Times New Roman" w:eastAsia="Times New Roman" w:hAnsi="Times New Roman"/>
          <w:sz w:val="18"/>
          <w:szCs w:val="18"/>
          <w:color w:val="auto"/>
        </w:rPr>
        <w:t>. If only a portion of a Physical Note of a Holder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Upon Fundamental Change, Optional Repurchase or Redemption, then, as soon as reasonably practicable after such Physical Note is surrendered for such conversion or repurchase, as applicable, the Company will cause such Physical Note to be exchanged, pursuant and subject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2.10(C)</w:t>
      </w:r>
      <w:r>
        <w:rPr>
          <w:rFonts w:ascii="Times New Roman" w:cs="Times New Roman" w:eastAsia="Times New Roman" w:hAnsi="Times New Roman"/>
          <w:sz w:val="18"/>
          <w:szCs w:val="18"/>
          <w:color w:val="auto"/>
        </w:rPr>
        <w:t>, for (i) one or more Physical Notes that are in Authorized Denominations and have an aggregate principal amount equal to the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Physical Note referred to in this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need not be issued at any time after which such principal amount subject to such conversion or repurchase, as applicable,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firstLine="656"/>
        <w:spacing w:after="0" w:line="284" w:lineRule="auto"/>
        <w:tabs>
          <w:tab w:leader="none" w:pos="11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Notes that Are Converted and Notes that Are Repurchased Pursuant to a Repurchase Upon Fundamental Change, Optional Repurchase or Redemption</w:t>
      </w:r>
      <w:r>
        <w:rPr>
          <w:rFonts w:ascii="Times New Roman" w:cs="Times New Roman" w:eastAsia="Times New Roman" w:hAnsi="Times New Roman"/>
          <w:sz w:val="18"/>
          <w:szCs w:val="18"/>
          <w:color w:val="auto"/>
        </w:rPr>
        <w:t>.</w:t>
      </w:r>
    </w:p>
    <w:p>
      <w:pPr>
        <w:spacing w:after="0" w:line="33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jc w:val="both"/>
        <w:ind w:left="660" w:firstLine="644"/>
        <w:spacing w:after="0" w:line="255" w:lineRule="auto"/>
        <w:tabs>
          <w:tab w:leader="none" w:pos="19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If a Physical Note (or any portion thereof that has not theretofore been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 Holder is to be converted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Optional Repurchase or Redemption, then, promptly after the later of the time such Physical Note (or such portion) is deemed to cease to be outstanding pursuant to </w:t>
      </w:r>
      <w:r>
        <w:rPr>
          <w:rFonts w:ascii="Times New Roman" w:cs="Times New Roman" w:eastAsia="Times New Roman" w:hAnsi="Times New Roman"/>
          <w:sz w:val="18"/>
          <w:szCs w:val="18"/>
          <w:b w:val="1"/>
          <w:bCs w:val="1"/>
          <w:color w:val="auto"/>
        </w:rPr>
        <w:t xml:space="preserve">Section 2.18 </w:t>
      </w:r>
      <w:r>
        <w:rPr>
          <w:rFonts w:ascii="Times New Roman" w:cs="Times New Roman" w:eastAsia="Times New Roman" w:hAnsi="Times New Roman"/>
          <w:sz w:val="18"/>
          <w:szCs w:val="18"/>
          <w:color w:val="auto"/>
        </w:rPr>
        <w:t>and the time such Physical Note is surrendered for such conversion or repurchase, as applicable, (1) such Physical Note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xml:space="preserve">; and (2) in the case of a partial conversion or repurchase, as applicable, the Company will issue, execute and deliver to such Holder,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9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If a Global Note (or any portion thereof)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Upon Fundamental Change, Optional Repurchase or Redemption, then, promptly after the time such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2.12.</w:t>
        <w:tab/>
        <w:t>R</w:t>
      </w:r>
      <w:r>
        <w:rPr>
          <w:rFonts w:ascii="Times New Roman" w:cs="Times New Roman" w:eastAsia="Times New Roman" w:hAnsi="Times New Roman"/>
          <w:sz w:val="12"/>
          <w:szCs w:val="12"/>
          <w:b w:val="1"/>
          <w:bCs w:val="1"/>
          <w:color w:val="auto"/>
        </w:rPr>
        <w:t>emoval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estrictions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Without limiting the generality of any other provision of this Indenture (including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the Restricted Note Legend affixed to any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footnotes to the CUSIP and ISIN numbers set forth on the face of the certificate representing such Note, to thereafter bear the “unrestricted” CUSIP and ISIN numbers identified in such footnotes;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Note is a Global Note and the Depositary thereof requires a mandatory exchange or other procedure to cause such Global Note to be identified by “unrestricted” CUSIP and ISIN numbers in the facilities of such Depositary, then the Company will effect such exchange or procedure as soon as reasonably practicable.</w:t>
      </w:r>
    </w:p>
    <w:p>
      <w:pPr>
        <w:spacing w:after="0" w:line="18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2.13.</w:t>
        <w:tab/>
        <w:t>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Section 2.13.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Every replacement Note issued pursuant to this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2.14.</w:t>
        <w:tab/>
        <w:t>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with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espect to</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lobal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8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2.15.</w:t>
        <w:tab/>
        <w:t>C</w:t>
      </w:r>
      <w:r>
        <w:rPr>
          <w:rFonts w:ascii="Times New Roman" w:cs="Times New Roman" w:eastAsia="Times New Roman" w:hAnsi="Times New Roman"/>
          <w:sz w:val="12"/>
          <w:szCs w:val="12"/>
          <w:b w:val="1"/>
          <w:bCs w:val="1"/>
          <w:color w:val="auto"/>
        </w:rPr>
        <w:t>ancellation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the Company may not originally issue new Notes to replace Notes that it has paid or that have been cancelled upon transfer, exchange, payment or conversion.</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2.16.</w:t>
        <w:tab/>
        <w:t>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eld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or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in determining whether the Holders of the required aggregate principal amount of Notes have concurred in any direction, waiver, consent or other action under this Indenture, Notes owned by the Company or any of its Affiliates will be deemed not to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determining whether the Trustee is protected in relying on any such direction, waiver, consent or other action, only Notes that a Responsible Officer of the Trustee knows are so owned will be so disregarded.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2.17.</w:t>
        <w:tab/>
        <w:t>T</w:t>
      </w:r>
      <w:r>
        <w:rPr>
          <w:rFonts w:ascii="Times New Roman" w:cs="Times New Roman" w:eastAsia="Times New Roman" w:hAnsi="Times New Roman"/>
          <w:sz w:val="12"/>
          <w:szCs w:val="12"/>
          <w:b w:val="1"/>
          <w:bCs w:val="1"/>
          <w:color w:val="auto"/>
        </w:rPr>
        <w:t>emporary</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definitive Notes in exchange for temporary Notes. Until so exchanged, each temporary Note will in all respects be entitled to the same benefits under this Indenture as definitive Notes.</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2.18.</w:t>
        <w:tab/>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3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Notes that are outstanding at any time will be deemed to be those Notes that, at such time, have been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firstLine="656"/>
        <w:spacing w:after="0" w:line="286" w:lineRule="auto"/>
        <w:tabs>
          <w:tab w:leader="none" w:pos="13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Replaced Notes</w:t>
      </w:r>
      <w:r>
        <w:rPr>
          <w:rFonts w:ascii="Times New Roman" w:cs="Times New Roman" w:eastAsia="Times New Roman" w:hAnsi="Times New Roman"/>
          <w:sz w:val="18"/>
          <w:szCs w:val="18"/>
          <w:color w:val="auto"/>
        </w:rPr>
        <w:t>. If a Note is replaced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then such Note will cease to be outstanding at the time of its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Trustee and the Company receive proof reasonably satisfactory to them that such Note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156" w:lineRule="exact"/>
        <w:rPr>
          <w:rFonts w:ascii="Times New Roman" w:cs="Times New Roman" w:eastAsia="Times New Roman" w:hAnsi="Times New Roman"/>
          <w:sz w:val="18"/>
          <w:szCs w:val="18"/>
          <w:color w:val="auto"/>
        </w:rPr>
      </w:pPr>
    </w:p>
    <w:p>
      <w:pPr>
        <w:jc w:val="both"/>
        <w:ind w:firstLine="656"/>
        <w:spacing w:after="0" w:line="255" w:lineRule="auto"/>
        <w:tabs>
          <w:tab w:leader="none" w:pos="15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Maturing Notes and Notes Called for Redemption or Subject to Repurchase</w:t>
      </w:r>
      <w:r>
        <w:rPr>
          <w:rFonts w:ascii="Times New Roman" w:cs="Times New Roman" w:eastAsia="Times New Roman" w:hAnsi="Times New Roman"/>
          <w:sz w:val="18"/>
          <w:szCs w:val="18"/>
          <w:color w:val="auto"/>
        </w:rPr>
        <w:t>. If, on a Redemption Date, a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Date, the Optional Repurchase Date or the Maturity Date, the Paying Agent holds money sufficient to pay the aggregate Redemption Price, Fundamental Change Repurchase Price, Optional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4.03(C), </w:t>
      </w:r>
      <w:r>
        <w:rPr>
          <w:rFonts w:ascii="Times New Roman" w:cs="Times New Roman" w:eastAsia="Times New Roman" w:hAnsi="Times New Roman"/>
          <w:sz w:val="18"/>
          <w:szCs w:val="18"/>
          <w:b w:val="1"/>
          <w:bCs w:val="1"/>
          <w:color w:val="auto"/>
        </w:rPr>
        <w:t>4.04(F)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and (ii) the rights of the Holders of such Notes (or such portions thereof), as such, will terminate with respect to such Notes (or such portions thereof), other than the right to receive the Redemption Price, Fundamental Change Repurchase Price, Optional Repurchase Price or principal amount, as applicable, of, and accrued and unpaid interest on, such Notes (or such portions thereof), in each case as provided in this Indenture.</w:t>
      </w:r>
    </w:p>
    <w:p>
      <w:pPr>
        <w:spacing w:after="0" w:line="184" w:lineRule="exact"/>
        <w:rPr>
          <w:rFonts w:ascii="Times New Roman" w:cs="Times New Roman" w:eastAsia="Times New Roman" w:hAnsi="Times New Roman"/>
          <w:sz w:val="18"/>
          <w:szCs w:val="18"/>
          <w:color w:val="auto"/>
        </w:rPr>
      </w:pPr>
    </w:p>
    <w:p>
      <w:pPr>
        <w:jc w:val="both"/>
        <w:ind w:firstLine="656"/>
        <w:spacing w:after="0" w:line="267" w:lineRule="auto"/>
        <w:tabs>
          <w:tab w:leader="none" w:pos="12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Notes to Be Converted</w:t>
      </w:r>
      <w:r>
        <w:rPr>
          <w:rFonts w:ascii="Times New Roman" w:cs="Times New Roman" w:eastAsia="Times New Roman" w:hAnsi="Times New Roman"/>
          <w:sz w:val="18"/>
          <w:szCs w:val="18"/>
          <w:color w:val="auto"/>
        </w:rPr>
        <w:t>. At the Close of Business on the Conversion Date for any Note (or any portion thereof) to be converted,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upon such conversion) be deemed to cease to be outstanding, except to the extent provided in</w:t>
      </w:r>
      <w:r>
        <w:rPr>
          <w:rFonts w:ascii="Times New Roman" w:cs="Times New Roman" w:eastAsia="Times New Roman" w:hAnsi="Times New Roman"/>
          <w:sz w:val="18"/>
          <w:szCs w:val="18"/>
          <w:b w:val="1"/>
          <w:bCs w:val="1"/>
          <w:color w:val="auto"/>
        </w:rPr>
        <w:t xml:space="preserve"> Section 5.02(D)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5.08</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12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Cessation of Accrual of Interest</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4.03(C), 4.04(F)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interest will cease to accrue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from, and including, the date that such Note is deemed, pursuant to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to cease to be outstanding, unless there occurs a default in the payment or delivery of any cash or other property due on such Note.</w:t>
      </w:r>
    </w:p>
    <w:p>
      <w:pPr>
        <w:spacing w:after="0" w:line="34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2.19.</w:t>
        <w:tab/>
        <w:t>R</w:t>
      </w:r>
      <w:r>
        <w:rPr>
          <w:rFonts w:ascii="Times New Roman" w:cs="Times New Roman" w:eastAsia="Times New Roman" w:hAnsi="Times New Roman"/>
          <w:sz w:val="12"/>
          <w:szCs w:val="12"/>
          <w:b w:val="1"/>
          <w:bCs w:val="1"/>
          <w:color w:val="auto"/>
        </w:rPr>
        <w:t>epurchases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the Company may, from time to time, repurchase Notes in open market purchases or in negotiated transactions without delivering prior notice to Holders.</w:t>
      </w:r>
    </w:p>
    <w:p>
      <w:pPr>
        <w:spacing w:after="0" w:line="15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2.20.</w:t>
        <w:tab/>
        <w:t xml:space="preserve">CUSIP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ISIN N</w:t>
      </w:r>
      <w:r>
        <w:rPr>
          <w:rFonts w:ascii="Times New Roman" w:cs="Times New Roman" w:eastAsia="Times New Roman" w:hAnsi="Times New Roman"/>
          <w:sz w:val="12"/>
          <w:szCs w:val="12"/>
          <w:b w:val="1"/>
          <w:bCs w:val="1"/>
          <w:color w:val="auto"/>
        </w:rPr>
        <w:t>umbers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96"/>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76"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3.</w:t>
        <w:tab/>
        <w:t>COVENANTS</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3.01.</w:t>
        <w:tab/>
        <w:t>P</w:t>
      </w:r>
      <w:r>
        <w:rPr>
          <w:rFonts w:ascii="Times New Roman" w:cs="Times New Roman" w:eastAsia="Times New Roman" w:hAnsi="Times New Roman"/>
          <w:sz w:val="12"/>
          <w:szCs w:val="12"/>
          <w:b w:val="1"/>
          <w:bCs w:val="1"/>
          <w:color w:val="auto"/>
        </w:rPr>
        <w:t>ayment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5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pay or cause to be paid all the principal of, the Fundamental Change Repurchase Price,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Price and Redemption Price for, interest on, and other amounts due with respect to, the Notes on the dates and in the manner set forth in this Indenture.</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 of Funds</w:t>
      </w:r>
      <w:r>
        <w:rPr>
          <w:rFonts w:ascii="Times New Roman" w:cs="Times New Roman" w:eastAsia="Times New Roman" w:hAnsi="Times New Roman"/>
          <w:sz w:val="18"/>
          <w:szCs w:val="18"/>
          <w:color w:val="auto"/>
        </w:rPr>
        <w:t>. Before 12:00 P.M., New York City time, on each Redemption Date, Fundamental Change Repurchase Date,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7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3.02.</w:t>
        <w:tab/>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6" w:lineRule="auto"/>
        <w:tabs>
          <w:tab w:leader="none" w:pos="13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send to the Trustee copies of all reports that the Company is required to file with the SEC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13(a) or 15(d) of the Exchange Act within fifteen (15) calendar days after the date that the Company is required to file the same (after giving effect to all applicable grace periods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other than a report that is deemed to be sent to the Trustee pursuant to the preceding sentence.</w:t>
      </w:r>
    </w:p>
    <w:p>
      <w:pPr>
        <w:spacing w:after="0" w:line="35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both"/>
        <w:ind w:firstLine="656"/>
        <w:spacing w:after="0" w:line="261" w:lineRule="auto"/>
        <w:tabs>
          <w:tab w:leader="none" w:pos="13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need not determine whether the Company has filed any material via the EDGAR system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successor). The sending or filing of reports pursuant to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xml:space="preserve"> will not be deemed to constitute actual or constructive notice to the Trustee of any information contained, or determinable from information contained, therein, including the Company’s compliance with any of its covenants under this Indenture.</w:t>
      </w:r>
    </w:p>
    <w:p>
      <w:pPr>
        <w:spacing w:after="0" w:line="17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3.03.</w:t>
        <w:tab/>
        <w:t>R</w:t>
      </w:r>
      <w:r>
        <w:rPr>
          <w:rFonts w:ascii="Times New Roman" w:cs="Times New Roman" w:eastAsia="Times New Roman" w:hAnsi="Times New Roman"/>
          <w:sz w:val="12"/>
          <w:szCs w:val="12"/>
          <w:b w:val="1"/>
          <w:bCs w:val="1"/>
          <w:color w:val="auto"/>
        </w:rPr>
        <w:t>ule</w:t>
      </w:r>
      <w:r>
        <w:rPr>
          <w:rFonts w:ascii="Times New Roman" w:cs="Times New Roman" w:eastAsia="Times New Roman" w:hAnsi="Times New Roman"/>
          <w:sz w:val="18"/>
          <w:szCs w:val="18"/>
          <w:b w:val="1"/>
          <w:bCs w:val="1"/>
          <w:color w:val="auto"/>
        </w:rPr>
        <w:t xml:space="preserve"> 144A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 not subject to Section 13 or 15(d) of the Exchange Act at any time when any Notes or Conversion Shares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spacing w:after="0" w:line="18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3.04.</w:t>
        <w:tab/>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Additional Interest</w:t>
      </w:r>
      <w:r>
        <w:rPr>
          <w:rFonts w:ascii="Times New Roman" w:cs="Times New Roman" w:eastAsia="Times New Roman" w:hAnsi="Times New Roman"/>
          <w:sz w:val="18"/>
          <w:szCs w:val="18"/>
          <w:color w:val="auto"/>
        </w:rPr>
        <w:t>. If, on any day occurring on or after the date that is six (6) months after the Last Original Issue Date of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ind w:left="660" w:firstLine="644"/>
        <w:spacing w:after="0" w:line="282" w:lineRule="auto"/>
        <w:tabs>
          <w:tab w:leader="none" w:pos="18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satisfied the reporting conditions (including, for the avoidance of doubt, the requirement for current Form 10 information) set forth in Rule 144(c) and (i)(2) under the Securities Act; or</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is not otherwise Freely Tradable, then Additional Interest will accrue on such Note for such day.</w:t>
      </w:r>
    </w:p>
    <w:p>
      <w:pPr>
        <w:spacing w:after="0" w:line="22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Additional Interest</w:t>
      </w:r>
      <w:r>
        <w:rPr>
          <w:rFonts w:ascii="Times New Roman" w:cs="Times New Roman" w:eastAsia="Times New Roman" w:hAnsi="Times New Roman"/>
          <w:sz w:val="18"/>
          <w:szCs w:val="18"/>
          <w:color w:val="auto"/>
        </w:rPr>
        <w:t>. Any Additional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the same dates and in the same manner as the Stated Interest on such Note and will accrue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will Additional Interest that may accrue as a result of the Company’s failure to timely file any document or report that it is required to file with the SEC pursuant to Section 13 or 15(d) of the Exchange Act, as applicable (other than reports on Form 8-K) pursuant to </w:t>
      </w:r>
      <w:r>
        <w:rPr>
          <w:rFonts w:ascii="Times New Roman" w:cs="Times New Roman" w:eastAsia="Times New Roman" w:hAnsi="Times New Roman"/>
          <w:sz w:val="18"/>
          <w:szCs w:val="18"/>
          <w:b w:val="1"/>
          <w:bCs w:val="1"/>
          <w:color w:val="auto"/>
        </w:rPr>
        <w:t>Section 3.04(A)</w:t>
      </w:r>
      <w:r>
        <w:rPr>
          <w:rFonts w:ascii="Times New Roman" w:cs="Times New Roman" w:eastAsia="Times New Roman" w:hAnsi="Times New Roman"/>
          <w:sz w:val="18"/>
          <w:szCs w:val="18"/>
          <w:color w:val="auto"/>
        </w:rPr>
        <w:t xml:space="preserve">, together with any Special Interest that accrues as a result of the Company’s failure to comply with its reporting obligations as set forth in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accrue on any day on a Note at a combined rate per annum that exceeds one percent (1.00%).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359"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jc w:val="both"/>
        <w:ind w:firstLine="656"/>
        <w:spacing w:after="0" w:line="257" w:lineRule="auto"/>
        <w:tabs>
          <w:tab w:leader="none" w:pos="138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Accrual of Additional Interest; Trustee’s Disclaimer</w:t>
      </w:r>
      <w:r>
        <w:rPr>
          <w:rFonts w:ascii="Times New Roman" w:cs="Times New Roman" w:eastAsia="Times New Roman" w:hAnsi="Times New Roman"/>
          <w:sz w:val="18"/>
          <w:szCs w:val="18"/>
          <w:color w:val="auto"/>
        </w:rPr>
        <w:t>. The Company will send notice to the Holder of each Note,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3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Remedy</w:t>
      </w:r>
      <w:r>
        <w:rPr>
          <w:rFonts w:ascii="Times New Roman" w:cs="Times New Roman" w:eastAsia="Times New Roman" w:hAnsi="Times New Roman"/>
          <w:sz w:val="18"/>
          <w:szCs w:val="18"/>
          <w:color w:val="auto"/>
        </w:rPr>
        <w:t>. The accrual of Additional Interest will be the exclusive remedy available to Holders for the failure of their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Freely Tradable.</w:t>
      </w:r>
    </w:p>
    <w:p>
      <w:pPr>
        <w:spacing w:after="0" w:line="15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3.05.</w:t>
        <w:tab/>
        <w:t>C</w:t>
      </w:r>
      <w:r>
        <w:rPr>
          <w:rFonts w:ascii="Times New Roman" w:cs="Times New Roman" w:eastAsia="Times New Roman" w:hAnsi="Times New Roman"/>
          <w:sz w:val="12"/>
          <w:szCs w:val="12"/>
          <w:b w:val="1"/>
          <w:bCs w:val="1"/>
          <w:color w:val="auto"/>
        </w:rPr>
        <w:t>ompliance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Certificate</w:t>
      </w:r>
      <w:r>
        <w:rPr>
          <w:rFonts w:ascii="Times New Roman" w:cs="Times New Roman" w:eastAsia="Times New Roman" w:hAnsi="Times New Roman"/>
          <w:sz w:val="18"/>
          <w:szCs w:val="18"/>
          <w:color w:val="auto"/>
        </w:rPr>
        <w:t>. Within ninety (90) days after December 31, 2025 and each fiscal year of the Company ending thereafter,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Certificate</w:t>
      </w:r>
      <w:r>
        <w:rPr>
          <w:rFonts w:ascii="Times New Roman" w:cs="Times New Roman" w:eastAsia="Times New Roman" w:hAnsi="Times New Roman"/>
          <w:sz w:val="18"/>
          <w:szCs w:val="18"/>
          <w:color w:val="auto"/>
        </w:rPr>
        <w:t>. If a Default or Event of Default occurs, then the Company will promptly (and, in any event, within thirty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its first occurrence) deliver an Officer’s Certificate to the Trustee describing the same and what action the Company is taking or proposes to take with respect thereto.</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3.06.</w:t>
        <w:tab/>
        <w:t>S</w:t>
      </w:r>
      <w:r>
        <w:rPr>
          <w:rFonts w:ascii="Times New Roman" w:cs="Times New Roman" w:eastAsia="Times New Roman" w:hAnsi="Times New Roman"/>
          <w:sz w:val="12"/>
          <w:szCs w:val="12"/>
          <w:b w:val="1"/>
          <w:bCs w:val="1"/>
          <w:color w:val="auto"/>
        </w:rPr>
        <w:t>tay</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xtension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sury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3.07.</w:t>
        <w:tab/>
        <w:t>A</w:t>
      </w:r>
      <w:r>
        <w:rPr>
          <w:rFonts w:ascii="Times New Roman" w:cs="Times New Roman" w:eastAsia="Times New Roman" w:hAnsi="Times New Roman"/>
          <w:sz w:val="12"/>
          <w:szCs w:val="12"/>
          <w:b w:val="1"/>
          <w:bCs w:val="1"/>
          <w:color w:val="auto"/>
        </w:rPr>
        <w:t>cquisition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and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Notes that the Company or any of its Subsidiaries have purchased or otherwise acquired will be deemed to remain outstanding (except to the extent provided in </w:t>
      </w:r>
      <w:r>
        <w:rPr>
          <w:rFonts w:ascii="Times New Roman" w:cs="Times New Roman" w:eastAsia="Times New Roman" w:hAnsi="Times New Roman"/>
          <w:sz w:val="18"/>
          <w:szCs w:val="18"/>
          <w:b w:val="1"/>
          <w:bCs w:val="1"/>
          <w:color w:val="auto"/>
        </w:rPr>
        <w:t>Section 2.16</w:t>
      </w:r>
      <w:r>
        <w:rPr>
          <w:rFonts w:ascii="Times New Roman" w:cs="Times New Roman" w:eastAsia="Times New Roman" w:hAnsi="Times New Roman"/>
          <w:sz w:val="18"/>
          <w:szCs w:val="18"/>
          <w:color w:val="auto"/>
        </w:rPr>
        <w:t>) until such time as such Notes are delivered to the Trustee for cancellation. The Notes will bear a legend that no Affiliate of the Company may purchase or otherwise acquire any Notes or any beneficial interest in any Global Note, and the Company will use commercially reasonable efforts to prevent any of its controlled Affiliates from acquiring any Note (or any beneficial interest therein).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3.08.</w:t>
        <w:tab/>
        <w:t>E</w:t>
      </w:r>
      <w:r>
        <w:rPr>
          <w:rFonts w:ascii="Times New Roman" w:cs="Times New Roman" w:eastAsia="Times New Roman" w:hAnsi="Times New Roman"/>
          <w:sz w:val="12"/>
          <w:szCs w:val="12"/>
          <w:b w:val="1"/>
          <w:bCs w:val="1"/>
          <w:color w:val="auto"/>
        </w:rPr>
        <w:t>xistence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the Company will do or cause to be done all things necessary to preserve and keep in full force and effect its corporate existence.</w:t>
      </w:r>
    </w:p>
    <w:p>
      <w:pPr>
        <w:spacing w:after="0" w:line="155"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7"/>
          <w:szCs w:val="17"/>
          <w:b w:val="1"/>
          <w:bCs w:val="1"/>
          <w:color w:val="auto"/>
        </w:rPr>
        <w:t>REPURCHASE AND REDEMPTION</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4.01.</w:t>
        <w:tab/>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inking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sinking fund is required to be provided for the Notes.</w:t>
      </w:r>
    </w:p>
    <w:p>
      <w:pPr>
        <w:spacing w:after="0" w:line="22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4.02.</w:t>
        <w:tab/>
        <w:t>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2" w:lineRule="auto"/>
        <w:tabs>
          <w:tab w:leader="none" w:pos="12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Holders to Require the Company to Repurchase Notes Upon a Fundamental Change</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if a Fundamental Change occurs, then each Holder will have the right (the “</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 to require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such Holder’s Notes (or any portion thereof in an Authorized Denomination) on the Fundamental Change Repurchase Date for such Fundamental Change for a cash purchase price equal to the Fundamental Change Repurchase Price.</w:t>
      </w:r>
    </w:p>
    <w:p>
      <w:pPr>
        <w:spacing w:after="0" w:line="17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on such Fundamental Change Repurchase Date), then (i) the Company may not repurchase any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2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The Fundamental Change Repurchase Date for any Fundamental Change will be a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both"/>
        <w:ind w:left="-656" w:firstLine="656"/>
        <w:spacing w:after="0" w:line="253" w:lineRule="auto"/>
        <w:tabs>
          <w:tab w:leader="none" w:pos="5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The Fundamental Change Repurchase Price for any Note to be repurchased upon a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Repurchase Price will include interest on Notes to be repurchased from, and including, such Interest Payment Date.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Notice</w:t>
      </w:r>
      <w:r>
        <w:rPr>
          <w:rFonts w:ascii="Times New Roman" w:cs="Times New Roman" w:eastAsia="Times New Roman" w:hAnsi="Times New Roman"/>
          <w:sz w:val="18"/>
          <w:szCs w:val="18"/>
          <w:color w:val="auto"/>
        </w:rPr>
        <w:t>. On or before the twentieth (20th) calendar day after the effective date of a Fundamental 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send to each Holder, the Trustee, the Conversion Agent, and the Paying Agent a notice of such Fundamental Change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Fundamental Change Notice must state:</w:t>
      </w:r>
    </w:p>
    <w:p>
      <w:pPr>
        <w:spacing w:after="0" w:line="225" w:lineRule="exact"/>
        <w:rPr>
          <w:sz w:val="20"/>
          <w:szCs w:val="20"/>
          <w:color w:val="auto"/>
        </w:rPr>
      </w:pPr>
    </w:p>
    <w:p>
      <w:pPr>
        <w:ind w:left="1304" w:hanging="656"/>
        <w:spacing w:after="0"/>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the events causing such Fundamental Change;</w:t>
      </w:r>
    </w:p>
    <w:p>
      <w:pPr>
        <w:spacing w:after="0" w:line="225" w:lineRule="exact"/>
        <w:rPr>
          <w:rFonts w:ascii="Times New Roman" w:cs="Times New Roman" w:eastAsia="Times New Roman" w:hAnsi="Times New Roman"/>
          <w:sz w:val="18"/>
          <w:szCs w:val="18"/>
          <w:color w:val="auto"/>
        </w:rPr>
      </w:pPr>
    </w:p>
    <w:p>
      <w:pPr>
        <w:ind w:left="1324" w:hanging="676"/>
        <w:spacing w:after="0"/>
        <w:tabs>
          <w:tab w:leader="none" w:pos="1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such Fundamental Change;</w:t>
      </w:r>
    </w:p>
    <w:p>
      <w:pPr>
        <w:spacing w:after="0" w:line="221"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2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including the deadline for exercising the Fundamental Change Repurchase Right and the procedures for submitting and withdrawing a Fundamental Change Repurchase Notice;</w:t>
      </w:r>
    </w:p>
    <w:p>
      <w:pPr>
        <w:spacing w:after="0" w:line="174"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 for such Fundamental Change;</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ind w:left="4" w:firstLine="644"/>
        <w:spacing w:after="0" w:line="282" w:lineRule="auto"/>
        <w:tabs>
          <w:tab w:leader="none" w:pos="14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1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332"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42" w:name="page43"/>
    <w:bookmarkEnd w:id="42"/>
    <w:p>
      <w:pPr>
        <w:ind w:left="660" w:firstLine="644"/>
        <w:spacing w:after="0" w:line="282" w:lineRule="auto"/>
        <w:tabs>
          <w:tab w:leader="none" w:pos="19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60" w:lineRule="exact"/>
        <w:rPr>
          <w:sz w:val="20"/>
          <w:szCs w:val="20"/>
          <w:color w:val="auto"/>
        </w:rPr>
      </w:pPr>
    </w:p>
    <w:p>
      <w:pPr>
        <w:ind w:left="1280" w:hanging="62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to Exercise the Fundamental Change Repurchase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212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Fundamental Change Repurchase Notice and Notes to Be Repurchased</w:t>
      </w:r>
      <w:r>
        <w:rPr>
          <w:rFonts w:ascii="Times New Roman" w:cs="Times New Roman" w:eastAsia="Times New Roman" w:hAnsi="Times New Roman"/>
          <w:sz w:val="18"/>
          <w:szCs w:val="18"/>
          <w:color w:val="auto"/>
        </w:rPr>
        <w:t>. To exercise its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Right for a Note following a Fundamental Change, the Holder thereof must deliver to the Paying Agent:</w:t>
      </w:r>
    </w:p>
    <w:p>
      <w:pPr>
        <w:spacing w:after="0" w:line="160"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31"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75"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duly endorsed for transfer (if such Note is a Physical Note) or by book-entry transfer (if such Note is a</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Paying Agent will promptly deliver to the Company a copy of each Fundamental Change Repurchase Notice that it receives.</w:t>
      </w:r>
    </w:p>
    <w:p>
      <w:pPr>
        <w:spacing w:after="0" w:line="223" w:lineRule="exact"/>
        <w:rPr>
          <w:sz w:val="20"/>
          <w:szCs w:val="20"/>
          <w:color w:val="auto"/>
        </w:rPr>
      </w:pPr>
    </w:p>
    <w:p>
      <w:pPr>
        <w:ind w:left="2060" w:hanging="756"/>
        <w:spacing w:after="0"/>
        <w:tabs>
          <w:tab w:leader="none" w:pos="2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Fundamental Change Repurchase Notices</w:t>
      </w:r>
      <w:r>
        <w:rPr>
          <w:rFonts w:ascii="Times New Roman" w:cs="Times New Roman" w:eastAsia="Times New Roman" w:hAnsi="Times New Roman"/>
          <w:sz w:val="18"/>
          <w:szCs w:val="18"/>
          <w:color w:val="auto"/>
        </w:rPr>
        <w:t>. Each Fundamental Change Repurchase Notice with respect to a Note</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is exercising its Fundamental Change Repurchase Right with respect to such principal amount of such</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205" w:lineRule="exact"/>
        <w:rPr>
          <w:sz w:val="20"/>
          <w:szCs w:val="20"/>
          <w:color w:val="auto"/>
        </w:rPr>
      </w:pPr>
    </w:p>
    <w:p>
      <w:pPr>
        <w:jc w:val="both"/>
        <w:ind w:left="1300"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Fundamental Change Repurchase Notice must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Depositary 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left="4" w:firstLine="644"/>
        <w:spacing w:after="0" w:line="261" w:lineRule="auto"/>
        <w:tabs>
          <w:tab w:leader="none" w:pos="13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of Fundamental Change Repurchase Notice</w:t>
      </w:r>
      <w:r>
        <w:rPr>
          <w:rFonts w:ascii="Times New Roman" w:cs="Times New Roman" w:eastAsia="Times New Roman" w:hAnsi="Times New Roman"/>
          <w:sz w:val="18"/>
          <w:szCs w:val="18"/>
          <w:color w:val="auto"/>
        </w:rPr>
        <w:t>. A Holder that has delivered a Fundamental Change Repurchase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1"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1904" w:hanging="608"/>
        <w:spacing w:after="0"/>
        <w:tabs>
          <w:tab w:leader="none" w:pos="19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225"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194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if any, that remains subject to such Fundamental Change Repurchase Notice, which must be an Authorized Denomination;</w:t>
      </w:r>
    </w:p>
    <w:p>
      <w:pPr>
        <w:spacing w:after="0" w:line="160" w:lineRule="exact"/>
        <w:rPr>
          <w:sz w:val="20"/>
          <w:szCs w:val="20"/>
          <w:color w:val="auto"/>
        </w:rPr>
      </w:pPr>
    </w:p>
    <w:p>
      <w:pPr>
        <w:jc w:val="both"/>
        <w:ind w:left="4"/>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withdrawal notice must comply with the Depositary Procedures (and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85" w:lineRule="exact"/>
        <w:rPr>
          <w:sz w:val="20"/>
          <w:szCs w:val="20"/>
          <w:color w:val="auto"/>
        </w:rPr>
      </w:pPr>
    </w:p>
    <w:p>
      <w:pPr>
        <w:jc w:val="both"/>
        <w:ind w:left="-656" w:firstLine="656"/>
        <w:spacing w:after="0" w:line="255" w:lineRule="auto"/>
        <w:tabs>
          <w:tab w:leader="none" w:pos="6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Fundamental Change Repurchase Price</w:t>
      </w:r>
      <w:r>
        <w:rPr>
          <w:rFonts w:ascii="Times New Roman" w:cs="Times New Roman" w:eastAsia="Times New Roman" w:hAnsi="Times New Roman"/>
          <w:sz w:val="18"/>
          <w:szCs w:val="18"/>
          <w:color w:val="auto"/>
        </w:rPr>
        <w:t>. Without limiting the Company’s obligation to deposit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Price within the time prescribed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4.02(D) </w:t>
      </w:r>
      <w:r>
        <w:rPr>
          <w:rFonts w:ascii="Times New Roman" w:cs="Times New Roman" w:eastAsia="Times New Roman" w:hAnsi="Times New Roman"/>
          <w:sz w:val="18"/>
          <w:szCs w:val="18"/>
          <w:color w:val="auto"/>
        </w:rPr>
        <w:t>on any Note to be repurchased pursuant to a Repurchase Upon Fundamental Change must be paid pursuant to such proviso regardless of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4.02(G)</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7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Party May Conduct Repurchase Offer In Lieu of the Company</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be deemed to satisfy its obligations under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if one or more third parties conduct any Repurchase Upon Fundamental Change and related offer to repurchase Notes otherwise required by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in a manner that would have satisfied the requirements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if conducted directly by the Company.</w:t>
      </w:r>
    </w:p>
    <w:p>
      <w:pPr>
        <w:spacing w:after="0" w:line="351"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44" w:name="page45"/>
    <w:bookmarkEnd w:id="44"/>
    <w:p>
      <w:pPr>
        <w:jc w:val="both"/>
        <w:ind w:firstLine="656"/>
        <w:spacing w:after="0" w:line="253"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be required to send a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xml:space="preserve">, or offer to repurchase or repurchase any Notes pursuant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in connection with a Fundamental Change occurring pursuant to</w:t>
      </w:r>
      <w:r>
        <w:rPr>
          <w:rFonts w:ascii="Times New Roman" w:cs="Times New Roman" w:eastAsia="Times New Roman" w:hAnsi="Times New Roman"/>
          <w:sz w:val="18"/>
          <w:szCs w:val="18"/>
          <w:b w:val="1"/>
          <w:bCs w:val="1"/>
          <w:color w:val="auto"/>
        </w:rPr>
        <w:t xml:space="preserve"> clause (B)(ii) </w:t>
      </w:r>
      <w:r>
        <w:rPr>
          <w:rFonts w:ascii="Times New Roman" w:cs="Times New Roman" w:eastAsia="Times New Roman" w:hAnsi="Times New Roman"/>
          <w:sz w:val="18"/>
          <w:szCs w:val="18"/>
          <w:color w:val="auto"/>
        </w:rPr>
        <w:t>(or pursuant to</w:t>
      </w:r>
      <w:r>
        <w:rPr>
          <w:rFonts w:ascii="Times New Roman" w:cs="Times New Roman" w:eastAsia="Times New Roman" w:hAnsi="Times New Roman"/>
          <w:sz w:val="18"/>
          <w:szCs w:val="18"/>
          <w:b w:val="1"/>
          <w:bCs w:val="1"/>
          <w:color w:val="auto"/>
        </w:rPr>
        <w:t xml:space="preserve"> clause (A) </w:t>
      </w:r>
      <w:r>
        <w:rPr>
          <w:rFonts w:ascii="Times New Roman" w:cs="Times New Roman" w:eastAsia="Times New Roman" w:hAnsi="Times New Roman"/>
          <w:sz w:val="18"/>
          <w:szCs w:val="18"/>
          <w:color w:val="auto"/>
        </w:rPr>
        <w:t>that also constitutes a Fundamental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occurring pursuant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the definition thereof, if (i) such Fundamental Change constitutes a Common Stock Change Event whose Reference Property consists entirely of cash in U.S. dollars; (ii) immediately after such Fundamental Change, the Notes become convertible,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5.09(A) </w:t>
      </w:r>
      <w:r>
        <w:rPr>
          <w:rFonts w:ascii="Times New Roman" w:cs="Times New Roman" w:eastAsia="Times New Roman" w:hAnsi="Times New Roman"/>
          <w:sz w:val="18"/>
          <w:szCs w:val="18"/>
          <w:color w:val="auto"/>
        </w:rPr>
        <w:t>and, if applicable,</w:t>
      </w:r>
      <w:r>
        <w:rPr>
          <w:rFonts w:ascii="Times New Roman" w:cs="Times New Roman" w:eastAsia="Times New Roman" w:hAnsi="Times New Roman"/>
          <w:sz w:val="18"/>
          <w:szCs w:val="18"/>
          <w:b w:val="1"/>
          <w:bCs w:val="1"/>
          <w:color w:val="auto"/>
        </w:rPr>
        <w:t xml:space="preserve"> Section 5.07</w:t>
      </w:r>
      <w:r>
        <w:rPr>
          <w:rFonts w:ascii="Times New Roman" w:cs="Times New Roman" w:eastAsia="Times New Roman" w:hAnsi="Times New Roman"/>
          <w:sz w:val="18"/>
          <w:szCs w:val="18"/>
          <w:color w:val="auto"/>
        </w:rPr>
        <w:t>, into consideration that consists solely of U.S. dollars in an amount per $1,000 aggregate principal amount of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includes, in such notice, a statement that the Company is relying on this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7" w:lineRule="auto"/>
        <w:tabs>
          <w:tab w:leader="none" w:pos="12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Applicable Securities Laws</w:t>
      </w:r>
      <w:r>
        <w:rPr>
          <w:rFonts w:ascii="Times New Roman" w:cs="Times New Roman" w:eastAsia="Times New Roman" w:hAnsi="Times New Roman"/>
          <w:sz w:val="18"/>
          <w:szCs w:val="18"/>
          <w:color w:val="auto"/>
        </w:rPr>
        <w:t>. To the extent applicable, the Company will comply, in all material respects, with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18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Notes may be repurchased pursuant to a Repurchase Upon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in part, but only in Authorized Denominations. Provisions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4.03.</w:t>
        <w:tab/>
        <w:t>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on 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7" w:lineRule="auto"/>
        <w:tabs>
          <w:tab w:leader="none" w:pos="12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of Holders to Require the Company to Repurchase Notes on the Optional Repurchase Date. </w:t>
      </w:r>
      <w:r>
        <w:rPr>
          <w:rFonts w:ascii="Times New Roman" w:cs="Times New Roman" w:eastAsia="Times New Roman" w:hAnsi="Times New Roman"/>
          <w:sz w:val="18"/>
          <w:szCs w:val="18"/>
          <w:color w:val="auto"/>
        </w:rPr>
        <w:t>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will have the right (the “</w:t>
      </w:r>
      <w:r>
        <w:rPr>
          <w:rFonts w:ascii="Times New Roman" w:cs="Times New Roman" w:eastAsia="Times New Roman" w:hAnsi="Times New Roman"/>
          <w:sz w:val="18"/>
          <w:szCs w:val="18"/>
          <w:b w:val="1"/>
          <w:bCs w:val="1"/>
          <w:color w:val="auto"/>
        </w:rPr>
        <w:t>Optional Repurchase Right</w:t>
      </w:r>
      <w:r>
        <w:rPr>
          <w:rFonts w:ascii="Times New Roman" w:cs="Times New Roman" w:eastAsia="Times New Roman" w:hAnsi="Times New Roman"/>
          <w:sz w:val="18"/>
          <w:szCs w:val="18"/>
          <w:color w:val="auto"/>
        </w:rPr>
        <w:t>”) to require the Company to repurchase such Holder’s Notes (or any portion thereof in an Authorized Denomination) on May 15, 2028 (the “</w:t>
      </w:r>
      <w:r>
        <w:rPr>
          <w:rFonts w:ascii="Times New Roman" w:cs="Times New Roman" w:eastAsia="Times New Roman" w:hAnsi="Times New Roman"/>
          <w:sz w:val="18"/>
          <w:szCs w:val="18"/>
          <w:b w:val="1"/>
          <w:bCs w:val="1"/>
          <w:color w:val="auto"/>
        </w:rPr>
        <w:t>Optional Repurchase Date</w:t>
      </w:r>
      <w:r>
        <w:rPr>
          <w:rFonts w:ascii="Times New Roman" w:cs="Times New Roman" w:eastAsia="Times New Roman" w:hAnsi="Times New Roman"/>
          <w:sz w:val="18"/>
          <w:szCs w:val="18"/>
          <w:color w:val="auto"/>
        </w:rPr>
        <w:t xml:space="preserve">”) for a cash purchase price equal to the Optional Repurchase Price. Notwithstanding anything to the contrary in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 Company will not be required to offer or effect any Optional Repurchase, and Holders will not have an Optional Repurchase Right, if the Company has called all then-outstanding Notes for Redemption prior to the latest date for a valid delivery of the Optional Repurchase Date Notice.</w:t>
      </w:r>
    </w:p>
    <w:p>
      <w:pPr>
        <w:spacing w:after="0" w:line="35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jc w:val="both"/>
        <w:ind w:left="-656" w:firstLine="656"/>
        <w:spacing w:after="0" w:line="256" w:lineRule="auto"/>
        <w:tabs>
          <w:tab w:leader="none" w:pos="5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Repurchase Prohibited in Certain Circumstances. </w:t>
      </w:r>
      <w:r>
        <w:rPr>
          <w:rFonts w:ascii="Times New Roman" w:cs="Times New Roman" w:eastAsia="Times New Roman" w:hAnsi="Times New Roman"/>
          <w:sz w:val="18"/>
          <w:szCs w:val="18"/>
          <w:color w:val="auto"/>
        </w:rPr>
        <w:t>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Optional Repurchase Date (including as a result of the payment of the related Optional Repurchase Price, and any related interest pursuant to the proviso to the first sentence of </w:t>
      </w:r>
      <w:r>
        <w:rPr>
          <w:rFonts w:ascii="Times New Roman" w:cs="Times New Roman" w:eastAsia="Times New Roman" w:hAnsi="Times New Roman"/>
          <w:sz w:val="18"/>
          <w:szCs w:val="18"/>
          <w:b w:val="1"/>
          <w:bCs w:val="1"/>
          <w:color w:val="auto"/>
        </w:rPr>
        <w:t>Section 4.03(C)</w:t>
      </w:r>
      <w:r>
        <w:rPr>
          <w:rFonts w:ascii="Times New Roman" w:cs="Times New Roman" w:eastAsia="Times New Roman" w:hAnsi="Times New Roman"/>
          <w:sz w:val="18"/>
          <w:szCs w:val="18"/>
          <w:color w:val="auto"/>
        </w:rPr>
        <w:t xml:space="preserve">, on the Optional Repurchase Date), then (i) the Company may not repurchase any Notes otherwise subject to Optional Repurchase on the Optional Repurchase Date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(ii) the Company will cause any Notes theretofore surrendered for such Optional Repurchase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6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Optional Repurchase Price. </w:t>
      </w:r>
      <w:r>
        <w:rPr>
          <w:rFonts w:ascii="Times New Roman" w:cs="Times New Roman" w:eastAsia="Times New Roman" w:hAnsi="Times New Roman"/>
          <w:sz w:val="18"/>
          <w:szCs w:val="18"/>
          <w:color w:val="auto"/>
        </w:rPr>
        <w:t>The Optional Repurchase Price for any Note to be repurchased on the Optional Repurchase Date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Optional Repurchase is an amount in cash equal to the principal amount of such Note plus accrued and unpaid interest on such Note to, but excluding, the Optional Repurchase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the avoidance of doubt, the Holder of such Note at the Close of Business on the Regular Record Date immediately preceding the Optional Repurchase Date will be entitled, notwithstanding such Optional Repurchase, to receive, on or, at the Company’s election, before such Interest Payment Date, the unpaid interest that would have accrued on such Note to, but excluding, such Interest Payment Date.</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5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Optional Repurchase Date Notice. </w:t>
      </w:r>
      <w:r>
        <w:rPr>
          <w:rFonts w:ascii="Times New Roman" w:cs="Times New Roman" w:eastAsia="Times New Roman" w:hAnsi="Times New Roman"/>
          <w:sz w:val="18"/>
          <w:szCs w:val="18"/>
          <w:color w:val="auto"/>
        </w:rPr>
        <w:t>No later than twenty (20), Business Days before the Optional Repurchase Date, the Company will send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Holder, the Trustee, the Conversion Agent and the Paying Agent a notice (an “</w:t>
      </w:r>
      <w:r>
        <w:rPr>
          <w:rFonts w:ascii="Times New Roman" w:cs="Times New Roman" w:eastAsia="Times New Roman" w:hAnsi="Times New Roman"/>
          <w:sz w:val="18"/>
          <w:szCs w:val="18"/>
          <w:b w:val="1"/>
          <w:bCs w:val="1"/>
          <w:color w:val="auto"/>
        </w:rPr>
        <w:t>Optional Repurchase Date Notice</w:t>
      </w:r>
      <w:r>
        <w:rPr>
          <w:rFonts w:ascii="Times New Roman" w:cs="Times New Roman" w:eastAsia="Times New Roman" w:hAnsi="Times New Roman"/>
          <w:sz w:val="18"/>
          <w:szCs w:val="18"/>
          <w:color w:val="auto"/>
        </w:rPr>
        <w:t>”) (or publish the same through such other widely disseminated public medium as the Company then uses, including its website) containing the information required by this Indenture to be set forth in the Optional Repurchase Date Notice.</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Optional Repurchase Date Notice must state:</w:t>
      </w:r>
    </w:p>
    <w:p>
      <w:pPr>
        <w:spacing w:after="0" w:line="221" w:lineRule="exact"/>
        <w:rPr>
          <w:sz w:val="20"/>
          <w:szCs w:val="20"/>
          <w:color w:val="auto"/>
        </w:rPr>
      </w:pPr>
    </w:p>
    <w:p>
      <w:pPr>
        <w:jc w:val="both"/>
        <w:ind w:left="4" w:firstLine="644"/>
        <w:spacing w:after="0" w:line="268" w:lineRule="auto"/>
        <w:tabs>
          <w:tab w:leader="none" w:pos="15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including the deadline for exercising the Optional Repurchase Right and the procedures for submitting and withdrawing an Optional Repurchase Notice;</w:t>
      </w:r>
    </w:p>
    <w:p>
      <w:pPr>
        <w:spacing w:after="0" w:line="174" w:lineRule="exact"/>
        <w:rPr>
          <w:rFonts w:ascii="Times New Roman" w:cs="Times New Roman" w:eastAsia="Times New Roman" w:hAnsi="Times New Roman"/>
          <w:sz w:val="18"/>
          <w:szCs w:val="18"/>
          <w:color w:val="auto"/>
        </w:rPr>
      </w:pPr>
    </w:p>
    <w:p>
      <w:pPr>
        <w:ind w:left="1324" w:hanging="676"/>
        <w:spacing w:after="0"/>
        <w:tabs>
          <w:tab w:leader="none" w:pos="1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Repurchase Date;</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2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Repurchase Price and that the Holder of any Note at the Close of Business on the Regular Record Date immediately before the Optional Repurchase Date will be entitled to receive, on the Interest Payment Date falling on the Optional Repurchase Date, the unpaid interest that has accrued on such Note to, but excluding, such Interest Payment Date;</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396"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46" w:name="page47"/>
    <w:bookmarkEnd w:id="46"/>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in effect on the date of such Optional Repurchase Date Notice;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an Optional Repurchase Notice has been duly tendered and not duly withdrawn must be delivered to the Paying Agent for the Holder thereof to be entitled to receive the Optional Repurchase Price;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Notes (or any portion thereof) that are subject to an Optional Repurchase Notice that has been duly tendered may be converted (if otherwise then convertible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only if such Optional Repurchase Notice is withdrawn in accordance with this Indenture; and</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deliver an Optional Repurchase Date Notice nor any defect in an Optional Repurchase Date Notice will limit the Optional Repurchase Right of any Holder or otherwise affect the validity of any proceedings relating to any Optional Repurchase.</w:t>
      </w:r>
    </w:p>
    <w:p>
      <w:pPr>
        <w:spacing w:after="0" w:line="160"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to Exercise the Optional Repurchase Right.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86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Optional Repurchase Notice and Notes to Be Repurchased</w:t>
      </w:r>
      <w:r>
        <w:rPr>
          <w:rFonts w:ascii="Times New Roman" w:cs="Times New Roman" w:eastAsia="Times New Roman" w:hAnsi="Times New Roman"/>
          <w:sz w:val="18"/>
          <w:szCs w:val="18"/>
          <w:color w:val="auto"/>
        </w:rPr>
        <w:t>. To exercise its Optional Repurchase Right for a Note,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must deliver to the Paying Agent:</w:t>
      </w:r>
    </w:p>
    <w:p>
      <w:pPr>
        <w:spacing w:after="0" w:line="160"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76"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Close of Business on the Business Day immediately before the Optional Repurchase Date (or such later time as may be required by law), a duly completed, written Optional Repurchase Notice with respect to such Note; and</w:t>
      </w:r>
    </w:p>
    <w:p>
      <w:pPr>
        <w:spacing w:after="0" w:line="161"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duly endorsed for transfer (if such Note is a Physical Note) or by book-entry transfer (if such Note is a</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Paying Agent will promptly deliver to the Company a copy of each Optional Repurchase Notice that it receives.</w:t>
      </w:r>
    </w:p>
    <w:p>
      <w:pPr>
        <w:spacing w:after="0" w:line="223" w:lineRule="exact"/>
        <w:rPr>
          <w:sz w:val="20"/>
          <w:szCs w:val="20"/>
          <w:color w:val="auto"/>
        </w:rPr>
      </w:pPr>
    </w:p>
    <w:p>
      <w:pPr>
        <w:ind w:left="1980" w:hanging="676"/>
        <w:spacing w:after="0"/>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Optional Repurchase Notices</w:t>
      </w:r>
      <w:r>
        <w:rPr>
          <w:rFonts w:ascii="Times New Roman" w:cs="Times New Roman" w:eastAsia="Times New Roman" w:hAnsi="Times New Roman"/>
          <w:sz w:val="18"/>
          <w:szCs w:val="18"/>
          <w:color w:val="auto"/>
        </w:rPr>
        <w:t>. Each Optional Repurchase Notice with respect to a Note must state:</w:t>
      </w:r>
    </w:p>
    <w:p>
      <w:pPr>
        <w:spacing w:after="0" w:line="227"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1964" w:hanging="668"/>
        <w:spacing w:after="0"/>
        <w:tabs>
          <w:tab w:leader="none" w:pos="1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is exercising its Optional Repurchase Right with respect to such principal amount of such Note;</w:t>
      </w:r>
    </w:p>
    <w:p>
      <w:pPr>
        <w:spacing w:after="0" w:line="223"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Optional Repurchase Notice must comply with the Depositary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such Optional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4" w:firstLine="644"/>
        <w:spacing w:after="0" w:line="267" w:lineRule="auto"/>
        <w:tabs>
          <w:tab w:leader="none" w:pos="13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of Optional Repurchase Notice</w:t>
      </w:r>
      <w:r>
        <w:rPr>
          <w:rFonts w:ascii="Times New Roman" w:cs="Times New Roman" w:eastAsia="Times New Roman" w:hAnsi="Times New Roman"/>
          <w:sz w:val="18"/>
          <w:szCs w:val="18"/>
          <w:color w:val="auto"/>
        </w:rPr>
        <w:t>. A Holder that has delivered an Optional Repurchase Notice with respect to a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withdraw such Optional Repurchase Notice by delivering a written notice of withdrawal to the Paying Agent at any time before the Close of Business on the Business Day immediately before the Optional Repurchase Date. Such withdrawal notice must state:</w:t>
      </w:r>
    </w:p>
    <w:p>
      <w:pPr>
        <w:spacing w:after="0" w:line="17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92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if any, that remains subject to such Optional Repurchase Notice, which must be an Authorized Denomination;</w:t>
      </w:r>
    </w:p>
    <w:p>
      <w:pPr>
        <w:spacing w:after="0" w:line="160" w:lineRule="exact"/>
        <w:rPr>
          <w:sz w:val="20"/>
          <w:szCs w:val="20"/>
          <w:color w:val="auto"/>
        </w:rPr>
      </w:pPr>
    </w:p>
    <w:p>
      <w:pPr>
        <w:jc w:val="both"/>
        <w:ind w:left="4"/>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withdrawal notice must comply with the Depositary Procedures (and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85" w:lineRule="exact"/>
        <w:rPr>
          <w:sz w:val="20"/>
          <w:szCs w:val="20"/>
          <w:color w:val="auto"/>
        </w:rPr>
      </w:pPr>
    </w:p>
    <w:p>
      <w:pPr>
        <w:jc w:val="both"/>
        <w:ind w:left="-656" w:firstLine="656"/>
        <w:spacing w:after="0" w:line="256" w:lineRule="auto"/>
        <w:tabs>
          <w:tab w:leader="none" w:pos="5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Optional Repurchase Price</w:t>
      </w:r>
      <w:r>
        <w:rPr>
          <w:rFonts w:ascii="Times New Roman" w:cs="Times New Roman" w:eastAsia="Times New Roman" w:hAnsi="Times New Roman"/>
          <w:sz w:val="18"/>
          <w:szCs w:val="18"/>
          <w:color w:val="auto"/>
        </w:rPr>
        <w:t>. Without limiting the Company’s obligation to deposit the Optional Repurchase Price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prescribed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Optional Repurchase Price for a Note (or portion thereof) to be repurchased pursuant to an Optional Repurchase to be paid to the Holder thereof on or before the later of (i) the Optional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w:t>
      </w:r>
      <w:r>
        <w:rPr>
          <w:rFonts w:ascii="Times New Roman" w:cs="Times New Roman" w:eastAsia="Times New Roman" w:hAnsi="Times New Roman"/>
          <w:sz w:val="18"/>
          <w:szCs w:val="18"/>
          <w:b w:val="1"/>
          <w:bCs w:val="1"/>
          <w:color w:val="auto"/>
        </w:rPr>
        <w:t>Section 4.03(C)</w:t>
      </w:r>
      <w:r>
        <w:rPr>
          <w:rFonts w:ascii="Times New Roman" w:cs="Times New Roman" w:eastAsia="Times New Roman" w:hAnsi="Times New Roman"/>
          <w:sz w:val="18"/>
          <w:szCs w:val="18"/>
          <w:color w:val="auto"/>
        </w:rPr>
        <w:t xml:space="preserve"> on any Note to be repurchased pursuant to an Optional Repurchase must be paid as so described regardless of whether 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p>
    <w:p>
      <w:pPr>
        <w:spacing w:after="0" w:line="355"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8" w:name="page49"/>
    <w:bookmarkEnd w:id="48"/>
    <w:p>
      <w:pPr>
        <w:jc w:val="both"/>
        <w:ind w:firstLine="656"/>
        <w:spacing w:after="0" w:line="262" w:lineRule="auto"/>
        <w:tabs>
          <w:tab w:leader="none" w:pos="13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May Conduct Repurchase Offer In Lieu of the Company. </w:t>
      </w:r>
      <w:r>
        <w:rPr>
          <w:rFonts w:ascii="Times New Roman" w:cs="Times New Roman" w:eastAsia="Times New Roman" w:hAnsi="Times New Roman"/>
          <w:sz w:val="18"/>
          <w:szCs w:val="18"/>
          <w:color w:val="auto"/>
        </w:rPr>
        <w:t>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be deemed to satisfy its obligations under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if one or more third parties conduct any Optional Repurchase and related offer to repurchase Notes otherwise required by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in a manner that would have satisfied the requirements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if conducted directly by the Company.</w:t>
      </w:r>
    </w:p>
    <w:p>
      <w:pPr>
        <w:spacing w:after="0" w:line="178" w:lineRule="exact"/>
        <w:rPr>
          <w:rFonts w:ascii="Times New Roman" w:cs="Times New Roman" w:eastAsia="Times New Roman" w:hAnsi="Times New Roman"/>
          <w:sz w:val="18"/>
          <w:szCs w:val="18"/>
          <w:color w:val="auto"/>
        </w:rPr>
      </w:pPr>
    </w:p>
    <w:p>
      <w:pPr>
        <w:jc w:val="both"/>
        <w:ind w:firstLine="656"/>
        <w:spacing w:after="0" w:line="257" w:lineRule="auto"/>
        <w:tabs>
          <w:tab w:leader="none" w:pos="123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Applicable Securities Laws</w:t>
      </w:r>
      <w:r>
        <w:rPr>
          <w:rFonts w:ascii="Times New Roman" w:cs="Times New Roman" w:eastAsia="Times New Roman" w:hAnsi="Times New Roman"/>
          <w:sz w:val="18"/>
          <w:szCs w:val="18"/>
          <w:color w:val="auto"/>
        </w:rPr>
        <w:t>. To the extent applicable, the Company will comply, in all material respects, with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state securities laws in connection with an Optional Repurchase (including complying with Rules 13e-4 and 14e-1 under the Exchange Act and filing any required Schedule TO, to the extent applicable) so as to permit effecting such Optional Repurchase in the manner set forth in this Indenture. If, after complying with the preceding sentence to the extent applicable, any such laws prohibit the Company from taking any action otherwise required by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then, notwithstanding anything to the contrary in this</w:t>
      </w:r>
      <w:r>
        <w:rPr>
          <w:rFonts w:ascii="Times New Roman" w:cs="Times New Roman" w:eastAsia="Times New Roman" w:hAnsi="Times New Roman"/>
          <w:sz w:val="18"/>
          <w:szCs w:val="18"/>
          <w:b w:val="1"/>
          <w:bCs w:val="1"/>
          <w:color w:val="auto"/>
        </w:rPr>
        <w:t xml:space="preserve"> Section 4.03</w:t>
      </w:r>
      <w:r>
        <w:rPr>
          <w:rFonts w:ascii="Times New Roman" w:cs="Times New Roman" w:eastAsia="Times New Roman" w:hAnsi="Times New Roman"/>
          <w:sz w:val="18"/>
          <w:szCs w:val="18"/>
          <w:color w:val="auto"/>
        </w:rPr>
        <w:t>, the Company’s failure to take such action will, to the extent the same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prohibited by such laws, be deemed not to be a breach of its obligations under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656"/>
        <w:spacing w:after="0" w:line="268" w:lineRule="auto"/>
        <w:tabs>
          <w:tab w:leader="none" w:pos="12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Notes may be repurchased pursuant to an Optional Repurchase in part,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only in Authorized Denominations. Provisions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4.04.</w:t>
        <w:tab/>
        <w:t>R</w:t>
      </w:r>
      <w:r>
        <w:rPr>
          <w:rFonts w:ascii="Times New Roman" w:cs="Times New Roman" w:eastAsia="Times New Roman" w:hAnsi="Times New Roman"/>
          <w:sz w:val="12"/>
          <w:szCs w:val="12"/>
          <w:b w:val="1"/>
          <w:bCs w:val="1"/>
          <w:color w:val="auto"/>
        </w:rPr>
        <w:t>ight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edeem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 to Redeem Before </w:t>
      </w:r>
      <w:r>
        <w:rPr>
          <w:rFonts w:ascii="Times New Roman" w:cs="Times New Roman" w:eastAsia="Times New Roman" w:hAnsi="Times New Roman"/>
          <w:sz w:val="18"/>
          <w:szCs w:val="18"/>
          <w:color w:val="auto"/>
        </w:rPr>
        <w:t>May 22, 2028. The Company may not redeem the Notes at its option at any time before May 22, 2028.</w:t>
      </w:r>
    </w:p>
    <w:p>
      <w:pPr>
        <w:spacing w:after="0" w:line="223" w:lineRule="exact"/>
        <w:rPr>
          <w:rFonts w:ascii="Times New Roman" w:cs="Times New Roman" w:eastAsia="Times New Roman" w:hAnsi="Times New Roman"/>
          <w:sz w:val="18"/>
          <w:szCs w:val="18"/>
          <w:color w:val="auto"/>
        </w:rPr>
      </w:pPr>
    </w:p>
    <w:p>
      <w:pPr>
        <w:jc w:val="both"/>
        <w:ind w:firstLine="656"/>
        <w:spacing w:after="0" w:line="231" w:lineRule="auto"/>
        <w:tabs>
          <w:tab w:leader="none" w:pos="127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Redeem the Notes on or After </w:t>
      </w:r>
      <w:r>
        <w:rPr>
          <w:rFonts w:ascii="Times New Roman" w:cs="Times New Roman" w:eastAsia="Times New Roman" w:hAnsi="Times New Roman"/>
          <w:sz w:val="18"/>
          <w:szCs w:val="18"/>
          <w:color w:val="auto"/>
        </w:rPr>
        <w:t>May 22, 2028.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the Company has the right, at its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redeem all, or any portion (subject to the Partial Redemption Limitation described in </w:t>
      </w:r>
      <w:r>
        <w:rPr>
          <w:rFonts w:ascii="Times New Roman" w:cs="Times New Roman" w:eastAsia="Times New Roman" w:hAnsi="Times New Roman"/>
          <w:sz w:val="18"/>
          <w:szCs w:val="18"/>
          <w:b w:val="1"/>
          <w:bCs w:val="1"/>
          <w:color w:val="auto"/>
        </w:rPr>
        <w:t>Section 4.04(C)</w:t>
      </w:r>
      <w:r>
        <w:rPr>
          <w:rFonts w:ascii="Times New Roman" w:cs="Times New Roman" w:eastAsia="Times New Roman" w:hAnsi="Times New Roman"/>
          <w:sz w:val="18"/>
          <w:szCs w:val="18"/>
          <w:color w:val="auto"/>
        </w:rPr>
        <w:t>) in an Authorized Denomination, of the Notes, at any time, and from time to time, on a Redemption Date on or after May 22, 2028 and before the 36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for a cash purchase price equal to the Redemption Price, but only if (1)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the Redemption Notice Date for such Redemption;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Trading Day immediately before such Redemption Notice Date and (2) the Liquidity Conditions have been satisfied. For the avoidance of doubt, the calling of any Notes for Redemption will constitute a Make-Whole Fundamental Change with respect to such Notes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26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Redemption Limitation</w:t>
      </w:r>
      <w:r>
        <w:rPr>
          <w:rFonts w:ascii="Times New Roman" w:cs="Times New Roman" w:eastAsia="Times New Roman" w:hAnsi="Times New Roman"/>
          <w:sz w:val="18"/>
          <w:szCs w:val="18"/>
          <w:color w:val="auto"/>
        </w:rPr>
        <w:t>. If the Company elects to redeem fewer than all of the outstanding Notes, at least one hundred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($100,000,000) aggregate principal amount of Notes must be outstanding and not subject to Redemption as of the Redemption Notice Date for such Redemption (such requirement, the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both"/>
        <w:ind w:left="-656" w:firstLine="656"/>
        <w:spacing w:after="0" w:line="257" w:lineRule="auto"/>
        <w:tabs>
          <w:tab w:leader="none" w:pos="5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Redemption Date (including as a result of the payment of the related Redemption Price, and any related interest pursuant to the proviso to the first sentence of </w:t>
      </w:r>
      <w:r>
        <w:rPr>
          <w:rFonts w:ascii="Times New Roman" w:cs="Times New Roman" w:eastAsia="Times New Roman" w:hAnsi="Times New Roman"/>
          <w:sz w:val="18"/>
          <w:szCs w:val="18"/>
          <w:b w:val="1"/>
          <w:bCs w:val="1"/>
          <w:color w:val="auto"/>
        </w:rPr>
        <w:t>Section 4.04(F)</w:t>
      </w:r>
      <w:r>
        <w:rPr>
          <w:rFonts w:ascii="Times New Roman" w:cs="Times New Roman" w:eastAsia="Times New Roman" w:hAnsi="Times New Roman"/>
          <w:sz w:val="18"/>
          <w:szCs w:val="18"/>
          <w:color w:val="auto"/>
        </w:rPr>
        <w:t xml:space="preserve">, on such Redemption Date), then (i) the Company may not call for Redemption or otherwise redeem any Notes pursuant to this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ind w:left="-656" w:right="20" w:firstLine="656"/>
        <w:spacing w:after="0" w:line="284" w:lineRule="auto"/>
        <w:tabs>
          <w:tab w:leader="none" w:pos="6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The Redemption Date for any Redemption will be a Business Day of the Company’s choosing that is no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fifty-five (55), nor less than thirty-five (35), Scheduled Trading Days after the Redemption Notice Date for such Redemption.</w:t>
      </w:r>
    </w:p>
    <w:p>
      <w:pPr>
        <w:spacing w:after="0" w:line="158"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The Redemption Price for any Note called for Redemption is an amount in cash equal to the principal amount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plus accrued and unpaid interest on such Note to, but excluding, the Redemption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191" w:lineRule="exact"/>
        <w:rPr>
          <w:rFonts w:ascii="Times New Roman" w:cs="Times New Roman" w:eastAsia="Times New Roman" w:hAnsi="Times New Roman"/>
          <w:sz w:val="18"/>
          <w:szCs w:val="18"/>
          <w:color w:val="auto"/>
        </w:rPr>
      </w:pPr>
    </w:p>
    <w:p>
      <w:pPr>
        <w:ind w:left="-656" w:firstLine="656"/>
        <w:spacing w:after="0" w:line="284" w:lineRule="auto"/>
        <w:tabs>
          <w:tab w:leader="none" w:pos="5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Notice</w:t>
      </w:r>
      <w:r>
        <w:rPr>
          <w:rFonts w:ascii="Times New Roman" w:cs="Times New Roman" w:eastAsia="Times New Roman" w:hAnsi="Times New Roman"/>
          <w:sz w:val="18"/>
          <w:szCs w:val="18"/>
          <w:color w:val="auto"/>
        </w:rPr>
        <w:t>. To call any Notes for Redemption, the Company must send to each Holder of such Notes, the Trustee and the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 written notice of such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Redemption Notice must state:</w:t>
      </w:r>
    </w:p>
    <w:p>
      <w:pPr>
        <w:spacing w:after="0" w:line="225" w:lineRule="exact"/>
        <w:rPr>
          <w:sz w:val="20"/>
          <w:szCs w:val="20"/>
          <w:color w:val="auto"/>
        </w:rPr>
      </w:pPr>
    </w:p>
    <w:p>
      <w:pPr>
        <w:ind w:left="1304" w:hanging="656"/>
        <w:spacing w:after="0"/>
        <w:tabs>
          <w:tab w:leader="none" w:pos="13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Notes have been called for Redemption, briefly describing the Company’s Redemption right under this Indenture;</w:t>
      </w:r>
    </w:p>
    <w:p>
      <w:pPr>
        <w:spacing w:after="0" w:line="225" w:lineRule="exact"/>
        <w:rPr>
          <w:rFonts w:ascii="Times New Roman" w:cs="Times New Roman" w:eastAsia="Times New Roman" w:hAnsi="Times New Roman"/>
          <w:sz w:val="18"/>
          <w:szCs w:val="18"/>
          <w:color w:val="auto"/>
        </w:rPr>
      </w:pPr>
    </w:p>
    <w:p>
      <w:pPr>
        <w:ind w:left="1324" w:hanging="676"/>
        <w:spacing w:after="0"/>
        <w:tabs>
          <w:tab w:leader="none" w:pos="1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for such Redemption;</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2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4.04(F)</w:t>
      </w: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50" w:name="page51"/>
    <w:bookmarkEnd w:id="50"/>
    <w:p>
      <w:pPr>
        <w:ind w:left="1960" w:hanging="656"/>
        <w:spacing w:after="0"/>
        <w:tabs>
          <w:tab w:leader="none" w:pos="1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Method that will apply to all conversions of Notes with a Conversion Date that occurs on or after such Redemption Notice Date and before such Redemption Date; and</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or before the Redemption Notice Date, the Company will send a copy of such Redemption Notice to the Trustee, the Conversion Agent, and the Paying Agent.</w:t>
      </w:r>
    </w:p>
    <w:p>
      <w:pPr>
        <w:spacing w:after="0" w:line="160" w:lineRule="exact"/>
        <w:rPr>
          <w:sz w:val="20"/>
          <w:szCs w:val="20"/>
          <w:color w:val="auto"/>
        </w:rPr>
      </w:pPr>
    </w:p>
    <w:p>
      <w:pPr>
        <w:ind w:left="1320" w:hanging="66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and Conversion of Notes to Be Redeemed in Part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Notes then outstanding are called for Redemption, then the Notes to be redeemed will be selected as follows: (1) in the case of Global Notes, in accordance with the Depositary Procedures; and (2) in the case of Physical Notes, pro rata, by lot or by such other method the Trustee considers fair and appropriate.</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a portion of a Note is subject to Redemption and such Note is converted in part, then the converted portion of such Note will be deemed to be from the portion of such Note that was subject to Redemption.</w:t>
      </w:r>
    </w:p>
    <w:p>
      <w:pPr>
        <w:spacing w:after="0" w:line="15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Redemption Price</w:t>
      </w:r>
      <w:r>
        <w:rPr>
          <w:rFonts w:ascii="Times New Roman" w:cs="Times New Roman" w:eastAsia="Times New Roman" w:hAnsi="Times New Roman"/>
          <w:sz w:val="18"/>
          <w:szCs w:val="18"/>
          <w:color w:val="auto"/>
        </w:rPr>
        <w:t>. Without limiting the Company’s obligation to deposit the Redemption Price by the time prescribed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the Company will cause the Redemption Price for a Note (or portion thereof) subject to Redemption to be paid to the Holder thereof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applicable Redemption Date.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4.04(F)</w:t>
      </w:r>
      <w:r>
        <w:rPr>
          <w:rFonts w:ascii="Times New Roman" w:cs="Times New Roman" w:eastAsia="Times New Roman" w:hAnsi="Times New Roman"/>
          <w:sz w:val="18"/>
          <w:szCs w:val="18"/>
          <w:color w:val="auto"/>
        </w:rPr>
        <w:t xml:space="preserve"> on any Note (or portion thereof) subject to Redemption must be paid pursuant to such proviso.</w:t>
      </w:r>
    </w:p>
    <w:p>
      <w:pPr>
        <w:spacing w:after="0" w:line="17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for Partial Calls</w:t>
      </w:r>
      <w:r>
        <w:rPr>
          <w:rFonts w:ascii="Times New Roman" w:cs="Times New Roman" w:eastAsia="Times New Roman" w:hAnsi="Times New Roman"/>
          <w:sz w:val="18"/>
          <w:szCs w:val="18"/>
          <w:color w:val="auto"/>
        </w:rPr>
        <w:t>. If the Company elects to redeem less than all of the outstanding Notes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Holder of any Note, or any owner of a beneficial interest in any Global Note, is reasonably not able to determine, before the Close of Business on the 32nd Scheduled Trading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 purposes of this </w:t>
      </w:r>
      <w:r>
        <w:rPr>
          <w:rFonts w:ascii="Times New Roman" w:cs="Times New Roman" w:eastAsia="Times New Roman" w:hAnsi="Times New Roman"/>
          <w:sz w:val="18"/>
          <w:szCs w:val="18"/>
          <w:b w:val="1"/>
          <w:bCs w:val="1"/>
          <w:color w:val="auto"/>
        </w:rPr>
        <w:t>Section 4.04, Sections 5.01(C)(i)(4)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and the definition of “Make-Whole Fundamental Change.”</w:t>
      </w:r>
    </w:p>
    <w:p>
      <w:pPr>
        <w:spacing w:after="0" w:line="35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4440"/>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7"/>
          <w:szCs w:val="17"/>
          <w:b w:val="1"/>
          <w:bCs w:val="1"/>
          <w:color w:val="auto"/>
        </w:rPr>
        <w:t>CONVERSION</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5.01.</w:t>
        <w:tab/>
        <w:t>R</w:t>
      </w:r>
      <w:r>
        <w:rPr>
          <w:rFonts w:ascii="Times New Roman" w:cs="Times New Roman" w:eastAsia="Times New Roman" w:hAnsi="Times New Roman"/>
          <w:sz w:val="12"/>
          <w:szCs w:val="12"/>
          <w:b w:val="1"/>
          <w:bCs w:val="1"/>
          <w:color w:val="auto"/>
        </w:rPr>
        <w:t>ight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480" w:hanging="824"/>
        <w:spacing w:after="0"/>
        <w:tabs>
          <w:tab w:leader="none" w:pos="1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each Holder may, at its option, convert such Holder’s Notes into Conversion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w:t>
      </w:r>
    </w:p>
    <w:p>
      <w:pPr>
        <w:spacing w:after="0" w:line="204" w:lineRule="exact"/>
        <w:rPr>
          <w:rFonts w:ascii="Times New Roman" w:cs="Times New Roman" w:eastAsia="Times New Roman" w:hAnsi="Times New Roman"/>
          <w:sz w:val="18"/>
          <w:szCs w:val="18"/>
          <w:color w:val="auto"/>
        </w:rPr>
      </w:pPr>
    </w:p>
    <w:p>
      <w:pPr>
        <w:ind w:firstLine="656"/>
        <w:spacing w:after="0" w:line="284" w:lineRule="auto"/>
        <w:tabs>
          <w:tab w:leader="none" w:pos="14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 Indenture, Notes may be converted in part, but only in Authorized Denominations.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applying to the conversion of a Note in whole will equally apply to conversions of a permitted portion of a Note.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Notes May Be Converted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5.01(C)(ii)</w:t>
      </w:r>
      <w:r>
        <w:rPr>
          <w:rFonts w:ascii="Times New Roman" w:cs="Times New Roman" w:eastAsia="Times New Roman" w:hAnsi="Times New Roman"/>
          <w:sz w:val="18"/>
          <w:szCs w:val="18"/>
          <w:color w:val="auto"/>
        </w:rPr>
        <w:t>, a Note may be converted only in the following circumstances:</w:t>
      </w:r>
    </w:p>
    <w:p>
      <w:pPr>
        <w:spacing w:after="0" w:line="227"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2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Satisfaction of Common Stock Sale Price Condition</w:t>
      </w:r>
      <w:r>
        <w:rPr>
          <w:rFonts w:ascii="Times New Roman" w:cs="Times New Roman" w:eastAsia="Times New Roman" w:hAnsi="Times New Roman"/>
          <w:sz w:val="18"/>
          <w:szCs w:val="18"/>
          <w:color w:val="auto"/>
        </w:rPr>
        <w:t>. A Holder may convert its Notes during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quarter (and only during such calendar quarter) commencing after the calendar quarter ending on September 30, 2025,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653"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Satisfaction of Note Trading Price Condition</w:t>
      </w:r>
      <w:r>
        <w:rPr>
          <w:rFonts w:ascii="Times New Roman" w:cs="Times New Roman" w:eastAsia="Times New Roman" w:hAnsi="Times New Roman"/>
          <w:sz w:val="18"/>
          <w:szCs w:val="18"/>
          <w:color w:val="auto"/>
        </w:rPr>
        <w:t>. A Holder may convert its Notes during the five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consecutive Business Days immediately after any ten (10) consecutive Trading Day period (such ten (10)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p>
      <w:pPr>
        <w:spacing w:after="0" w:line="35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3"/>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 xml:space="preserve">The Trading Price will be determined by the Bid Solicitation Agent pursuant to this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187" w:lineRule="exact"/>
        <w:rPr>
          <w:sz w:val="20"/>
          <w:szCs w:val="20"/>
          <w:color w:val="auto"/>
        </w:rPr>
      </w:pPr>
    </w:p>
    <w:p>
      <w:pPr>
        <w:ind w:left="1500" w:hanging="668"/>
        <w:spacing w:after="0"/>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Specified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80" w:hanging="600"/>
        <w:spacing w:after="0"/>
        <w:tabs>
          <w:tab w:leader="none" w:pos="20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Distributions</w:t>
      </w:r>
      <w:r>
        <w:rPr>
          <w:rFonts w:ascii="Times New Roman" w:cs="Times New Roman" w:eastAsia="Times New Roman" w:hAnsi="Times New Roman"/>
          <w:sz w:val="18"/>
          <w:szCs w:val="18"/>
          <w:color w:val="auto"/>
        </w:rPr>
        <w:t>. If the Company elects to:</w:t>
      </w:r>
    </w:p>
    <w:p>
      <w:pPr>
        <w:spacing w:after="0" w:line="227" w:lineRule="exact"/>
        <w:rPr>
          <w:rFonts w:ascii="Times New Roman" w:cs="Times New Roman" w:eastAsia="Times New Roman" w:hAnsi="Times New Roman"/>
          <w:sz w:val="18"/>
          <w:szCs w:val="18"/>
          <w:color w:val="auto"/>
        </w:rPr>
      </w:pPr>
    </w:p>
    <w:p>
      <w:pPr>
        <w:jc w:val="both"/>
        <w:ind w:left="1480" w:firstLine="648"/>
        <w:spacing w:after="0" w:line="255" w:lineRule="auto"/>
        <w:tabs>
          <w:tab w:leader="none" w:pos="2811"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to all or substantially all holders of Common Stock, any rights, options or warrants (other than rights issued pursuant to a stockholder rights plan prior to separation of such rights from the Common Stock)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or</w:t>
      </w:r>
    </w:p>
    <w:p>
      <w:pPr>
        <w:spacing w:after="0" w:line="359"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3"/>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3" w:name="page54"/>
    <w:bookmarkEnd w:id="53"/>
    <w:p>
      <w:pPr>
        <w:jc w:val="both"/>
        <w:ind w:left="1480" w:firstLine="648"/>
        <w:spacing w:after="0" w:line="261" w:lineRule="auto"/>
        <w:tabs>
          <w:tab w:leader="none" w:pos="281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spacing w:after="0" w:line="180"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 xml:space="preserve">then, in either case, (x) the Company will send notice of such distribution, and of the related right to convert Notes, to Holders, the Trustee and the Conversion Agent at least 35 Scheduled Trading Days before the Ex-Dividend Date for such distribution;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w:t>
      </w:r>
    </w:p>
    <w:p>
      <w:pPr>
        <w:spacing w:after="0" w:line="192" w:lineRule="exact"/>
        <w:rPr>
          <w:sz w:val="20"/>
          <w:szCs w:val="20"/>
          <w:color w:val="auto"/>
        </w:rPr>
      </w:pPr>
    </w:p>
    <w:p>
      <w:pPr>
        <w:jc w:val="both"/>
        <w:ind w:left="840" w:firstLine="640"/>
        <w:spacing w:after="0" w:line="253" w:lineRule="auto"/>
        <w:tabs>
          <w:tab w:leader="none" w:pos="20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Corporate Events</w:t>
      </w:r>
      <w:r>
        <w:rPr>
          <w:rFonts w:ascii="Times New Roman" w:cs="Times New Roman" w:eastAsia="Times New Roman" w:hAnsi="Times New Roman"/>
          <w:sz w:val="18"/>
          <w:szCs w:val="18"/>
          <w:color w:val="auto"/>
        </w:rPr>
        <w:t xml:space="preserve">. If a Fundamental Change, Make-Whole Fundamental Change (other than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does not provide the notice referred to in the immediately following sentence by such effective date, then the last day on which the Notes are convertible pursuant to this sentence will be extended by the number of Business Days from, and including, such effective date to, but excluding, the date the Company provides such notice. No later than the second (2nd) Business Day after the effective date of any Fundamental Change, Make-Whole Fundamental Change or Common Stock Change Event, the Company will send notice to the Holders, the Trustee and the Conversion Agent of such transaction or event, such effective date and, if applicable, the related right to convert Notes.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6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Redemption</w:t>
      </w:r>
      <w:r>
        <w:rPr>
          <w:rFonts w:ascii="Times New Roman" w:cs="Times New Roman" w:eastAsia="Times New Roman" w:hAnsi="Times New Roman"/>
          <w:sz w:val="18"/>
          <w:szCs w:val="18"/>
          <w:color w:val="auto"/>
        </w:rPr>
        <w:t>. If the Company calls any Note for Redemption, then the Holder of such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such Note at any time before the Close of Business on the Business Day immediately before the related Redemption Date (or, if the Company fails to pay the Redemption Price due on such Redemption Date in full, at any time until such time as the Company pays such Redemption Price in full).</w:t>
      </w:r>
    </w:p>
    <w:p>
      <w:pPr>
        <w:spacing w:after="0" w:line="352"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2"/>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4" w:name="page55"/>
    <w:bookmarkEnd w:id="54"/>
    <w:p>
      <w:pPr>
        <w:ind w:left="1300" w:firstLine="652"/>
        <w:spacing w:after="0" w:line="284" w:lineRule="auto"/>
        <w:tabs>
          <w:tab w:leader="none" w:pos="269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During Free Convertibility Period</w:t>
      </w:r>
      <w:r>
        <w:rPr>
          <w:rFonts w:ascii="Times New Roman" w:cs="Times New Roman" w:eastAsia="Times New Roman" w:hAnsi="Times New Roman"/>
          <w:sz w:val="18"/>
          <w:szCs w:val="18"/>
          <w:color w:val="auto"/>
        </w:rPr>
        <w:t>. A Holder may convert its Notes at any time from, and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15, 2029 until the Close of Business on the second (2nd) Scheduled Trading Day immediately before the Maturity Date.</w:t>
      </w:r>
    </w:p>
    <w:p>
      <w:pPr>
        <w:spacing w:after="0" w:line="156"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For the avoidance of doubt, the Notes may become convertible pursuant to any one or more of the preceding sub-paragraphs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5.01(C)(i) </w:t>
      </w:r>
      <w:r>
        <w:rPr>
          <w:rFonts w:ascii="Times New Roman" w:cs="Times New Roman" w:eastAsia="Times New Roman" w:hAnsi="Times New Roman"/>
          <w:sz w:val="18"/>
          <w:szCs w:val="18"/>
          <w:color w:val="auto"/>
        </w:rPr>
        <w:t>and the Notes ceasing to be convertible pursuant to a particular sub-paragraph of this</w:t>
      </w:r>
      <w:r>
        <w:rPr>
          <w:rFonts w:ascii="Times New Roman" w:cs="Times New Roman" w:eastAsia="Times New Roman" w:hAnsi="Times New Roman"/>
          <w:sz w:val="18"/>
          <w:szCs w:val="18"/>
          <w:b w:val="1"/>
          <w:bCs w:val="1"/>
          <w:color w:val="auto"/>
        </w:rPr>
        <w:t xml:space="preserve"> Section 5.01(C)(i) </w:t>
      </w:r>
      <w:r>
        <w:rPr>
          <w:rFonts w:ascii="Times New Roman" w:cs="Times New Roman" w:eastAsia="Times New Roman" w:hAnsi="Times New Roman"/>
          <w:sz w:val="18"/>
          <w:szCs w:val="18"/>
          <w:color w:val="auto"/>
        </w:rPr>
        <w:t>will not preclude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being convertible pursuant to any other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920" w:hanging="616"/>
        <w:spacing w:after="0"/>
        <w:tabs>
          <w:tab w:leader="none" w:pos="1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 Indenture or the Notes:</w:t>
      </w:r>
    </w:p>
    <w:p>
      <w:pPr>
        <w:spacing w:after="0" w:line="227" w:lineRule="exact"/>
        <w:rPr>
          <w:rFonts w:ascii="Times New Roman" w:cs="Times New Roman" w:eastAsia="Times New Roman" w:hAnsi="Times New Roman"/>
          <w:sz w:val="18"/>
          <w:szCs w:val="18"/>
          <w:color w:val="auto"/>
        </w:rPr>
      </w:pPr>
    </w:p>
    <w:p>
      <w:pPr>
        <w:ind w:left="1300" w:firstLine="652"/>
        <w:spacing w:after="0" w:line="282" w:lineRule="auto"/>
        <w:tabs>
          <w:tab w:leader="none" w:pos="256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may be surrendered for conversion only after the Open of Business and before the Close of Business on a day that is a Business Day;</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76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any Note be converted after the Close of Business on the second (2nd) Scheduled Trading Day immediately before the Maturity Date;</w:t>
      </w:r>
    </w:p>
    <w:p>
      <w:pPr>
        <w:spacing w:after="0" w:line="157" w:lineRule="exact"/>
        <w:rPr>
          <w:rFonts w:ascii="Times New Roman" w:cs="Times New Roman" w:eastAsia="Times New Roman" w:hAnsi="Times New Roman"/>
          <w:sz w:val="18"/>
          <w:szCs w:val="18"/>
          <w:color w:val="auto"/>
        </w:rPr>
      </w:pPr>
    </w:p>
    <w:p>
      <w:pPr>
        <w:jc w:val="both"/>
        <w:ind w:left="1300" w:firstLine="652"/>
        <w:spacing w:after="0" w:line="268" w:lineRule="auto"/>
        <w:tabs>
          <w:tab w:leader="none" w:pos="258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calls any Note for Redemption pursuant to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then the Holder of such Note may not convert such Note after the Close of Business on the Business Day immediately before the applicable Redemption Date, except to the extent the Company fails to pay the Redemption Price for such Note in accordance with this Indenture; and</w:t>
      </w:r>
    </w:p>
    <w:p>
      <w:pPr>
        <w:spacing w:after="0" w:line="170" w:lineRule="exact"/>
        <w:rPr>
          <w:rFonts w:ascii="Times New Roman" w:cs="Times New Roman" w:eastAsia="Times New Roman" w:hAnsi="Times New Roman"/>
          <w:sz w:val="18"/>
          <w:szCs w:val="18"/>
          <w:color w:val="auto"/>
        </w:rPr>
      </w:pPr>
    </w:p>
    <w:p>
      <w:pPr>
        <w:jc w:val="both"/>
        <w:ind w:left="1300" w:firstLine="652"/>
        <w:spacing w:after="0" w:line="259" w:lineRule="auto"/>
        <w:tabs>
          <w:tab w:leader="none" w:pos="267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Fundamental Change Repurchase Notice or Optional Repurchase is validly delivered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with respect to any Note, then such Note may not be converted, except to the extent (a) such Note is not subject to such notice; (b) such notice is withdrawn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or (c) the Company fails to pay the Fundamental Change Repurchase Price or Optional Repurchase Price for such Note in accordance with this Indenture (or a third party fails to make such payment in lieu of the Company in accordance with the provisions described in </w:t>
      </w:r>
      <w:r>
        <w:rPr>
          <w:rFonts w:ascii="Times New Roman" w:cs="Times New Roman" w:eastAsia="Times New Roman" w:hAnsi="Times New Roman"/>
          <w:sz w:val="18"/>
          <w:szCs w:val="18"/>
          <w:b w:val="1"/>
          <w:bCs w:val="1"/>
          <w:color w:val="auto"/>
        </w:rPr>
        <w:t>Section 4.02(H)</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5.02.</w:t>
        <w:tab/>
        <w:t>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9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To convert a beneficial interest in a Global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owner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beneficial interest must (1) comply with the Depositary Procedures for converting such beneficial interest (at which time such conversion will become irrevocable); and (2)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34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jc w:val="both"/>
        <w:ind w:left="4" w:firstLine="644"/>
        <w:spacing w:after="0" w:line="259"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To convert all or a portion of a Physical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Holder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6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Converting a Note</w:t>
      </w:r>
      <w:r>
        <w:rPr>
          <w:rFonts w:ascii="Times New Roman" w:cs="Times New Roman" w:eastAsia="Times New Roman" w:hAnsi="Times New Roman"/>
          <w:sz w:val="18"/>
          <w:szCs w:val="18"/>
          <w:color w:val="auto"/>
        </w:rPr>
        <w:t>. At the Close of Business on the Conversion Date for a Note (or any portion thereof) to be converted,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upon such conversion) be deemed to cease to be outstanding (and, for the avoidance of doubt, no Person will be deemed to be a Holder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 (or such portion thereof) as of the Close of Business on such Conversion Date),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5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 of Common Stock is issuable upon conversion of any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deemed to become the holder of record of such share as of the Close of Business on the last VWAP Trading Day of the Observation Period for such conversion.</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58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Payable Upon Conversion in Certain Circumstances</w:t>
      </w:r>
      <w:r>
        <w:rPr>
          <w:rFonts w:ascii="Times New Roman" w:cs="Times New Roman" w:eastAsia="Times New Roman" w:hAnsi="Times New Roman"/>
          <w:sz w:val="18"/>
          <w:szCs w:val="18"/>
          <w:color w:val="auto"/>
        </w:rPr>
        <w:t>. If the Conversion Date of a Note is after a Regular Record Date and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 surrendering such Note for conversion need not deliver such cash (v) if the Company has specified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Redemption Date that is after such Regular Record Date and on or before the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366"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56" w:name="page57"/>
    <w:bookmarkEnd w:id="56"/>
    <w:p>
      <w:pPr>
        <w:jc w:val="both"/>
        <w:ind w:firstLine="656"/>
        <w:spacing w:after="0" w:line="261" w:lineRule="auto"/>
        <w:tabs>
          <w:tab w:leader="none" w:pos="13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 and Duties</w:t>
      </w:r>
      <w:r>
        <w:rPr>
          <w:rFonts w:ascii="Times New Roman" w:cs="Times New Roman" w:eastAsia="Times New Roman" w:hAnsi="Times New Roman"/>
          <w:sz w:val="18"/>
          <w:szCs w:val="18"/>
          <w:color w:val="auto"/>
        </w:rPr>
        <w:t>. If a Holder converts a Note, the Company will pay any documentary, stamp or similar issue or transfer tax or duty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the issue or delivery of any shares of Common Stock upon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2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Agent to Notify Company of Conversions</w:t>
      </w:r>
      <w:r>
        <w:rPr>
          <w:rFonts w:ascii="Times New Roman" w:cs="Times New Roman" w:eastAsia="Times New Roman" w:hAnsi="Times New Roman"/>
          <w:sz w:val="18"/>
          <w:szCs w:val="18"/>
          <w:color w:val="auto"/>
        </w:rPr>
        <w:t>. If any Note is submitted for conversion to the Conversion Agent or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receives any notice of conversion with respect to a Note, then the Conversion Agent will promptly (and, in any event, no later than the date the Conversion Agent receives such Note or notice) notify the Company and the Trustee of such occurrence, together with any other information reasonably requested by the Company, and will cooperate with the Company to determine the Conversion Date for such Note.</w:t>
      </w:r>
    </w:p>
    <w:p>
      <w:pPr>
        <w:spacing w:after="0" w:line="17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5.03.</w:t>
        <w:tab/>
        <w:t>S</w:t>
      </w:r>
      <w:r>
        <w:rPr>
          <w:rFonts w:ascii="Times New Roman" w:cs="Times New Roman" w:eastAsia="Times New Roman" w:hAnsi="Times New Roman"/>
          <w:sz w:val="12"/>
          <w:szCs w:val="12"/>
          <w:b w:val="1"/>
          <w:bCs w:val="1"/>
          <w:color w:val="auto"/>
        </w:rPr>
        <w:t>ettlement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2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Method</w:t>
      </w:r>
      <w:r>
        <w:rPr>
          <w:rFonts w:ascii="Times New Roman" w:cs="Times New Roman" w:eastAsia="Times New Roman" w:hAnsi="Times New Roman"/>
          <w:sz w:val="18"/>
          <w:szCs w:val="18"/>
          <w:color w:val="auto"/>
        </w:rPr>
        <w:t>. Upon the conversion of any Note, the Company will settle such conversion by paying or delivering, as applicable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either (x) solely cash as provided in </w:t>
      </w:r>
      <w:r>
        <w:rPr>
          <w:rFonts w:ascii="Times New Roman" w:cs="Times New Roman" w:eastAsia="Times New Roman" w:hAnsi="Times New Roman"/>
          <w:sz w:val="18"/>
          <w:szCs w:val="18"/>
          <w:b w:val="1"/>
          <w:bCs w:val="1"/>
          <w:color w:val="auto"/>
        </w:rPr>
        <w:t>Section 5.03(B)(i)(1)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xml:space="preserve">”); or (y) a combination of cash and shares of Common Stock, together, if applicable, with cash in lieu of fractional shares as provided in </w:t>
      </w:r>
      <w:r>
        <w:rPr>
          <w:rFonts w:ascii="Times New Roman" w:cs="Times New Roman" w:eastAsia="Times New Roman" w:hAnsi="Times New Roman"/>
          <w:sz w:val="18"/>
          <w:szCs w:val="18"/>
          <w:b w:val="1"/>
          <w:bCs w:val="1"/>
          <w:color w:val="auto"/>
        </w:rPr>
        <w:t>Section 5.03(B)(i)(2)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660" w:firstLine="644"/>
        <w:spacing w:after="0" w:line="284" w:lineRule="auto"/>
        <w:tabs>
          <w:tab w:leader="none" w:pos="187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Right to Elect Settlement Method</w:t>
      </w:r>
      <w:r>
        <w:rPr>
          <w:rFonts w:ascii="Times New Roman" w:cs="Times New Roman" w:eastAsia="Times New Roman" w:hAnsi="Times New Roman"/>
          <w:sz w:val="18"/>
          <w:szCs w:val="18"/>
          <w:color w:val="auto"/>
        </w:rPr>
        <w:t>. The Company will have the right to elect the Settlement Method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conversion of a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56" w:lineRule="exact"/>
        <w:rPr>
          <w:rFonts w:ascii="Times New Roman" w:cs="Times New Roman" w:eastAsia="Times New Roman" w:hAnsi="Times New Roman"/>
          <w:sz w:val="18"/>
          <w:szCs w:val="18"/>
          <w:color w:val="auto"/>
        </w:rPr>
      </w:pPr>
    </w:p>
    <w:p>
      <w:pPr>
        <w:jc w:val="both"/>
        <w:ind w:left="1300" w:firstLine="652"/>
        <w:spacing w:after="0" w:line="268" w:lineRule="auto"/>
        <w:tabs>
          <w:tab w:leader="none" w:pos="2658"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all conversions of Notes with a Conversion Date that occurs on or after November 15, 2029 will be settled using the same Settlement Method, and the Company will send notice of such Settlement Method to Holders and the Conversion Agent no later than the Open of Business on November 15, 2029;</w:t>
      </w:r>
    </w:p>
    <w:p>
      <w:pPr>
        <w:spacing w:after="0" w:line="170" w:lineRule="exact"/>
        <w:rPr>
          <w:rFonts w:ascii="Times New Roman" w:cs="Times New Roman" w:eastAsia="Times New Roman" w:hAnsi="Times New Roman"/>
          <w:sz w:val="18"/>
          <w:szCs w:val="18"/>
          <w:color w:val="auto"/>
        </w:rPr>
      </w:pPr>
    </w:p>
    <w:p>
      <w:pPr>
        <w:jc w:val="both"/>
        <w:ind w:left="1300" w:firstLine="652"/>
        <w:spacing w:after="0" w:line="262" w:lineRule="auto"/>
        <w:tabs>
          <w:tab w:leader="none" w:pos="2658"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if the Company elects a Settlement Method with respect to the conversion of any Note whose Conversion Date occurs before November 15, 2029, then the Company will send notice of such Settlement Method to the Holder of such Note, with a copy to the Trustee and the Conversion Agent, no later than the Close of Business on the Business Day immediately after such Conversion Date;</w:t>
      </w:r>
    </w:p>
    <w:p>
      <w:pPr>
        <w:spacing w:after="0" w:line="180"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3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Notes are called for Redemption, then (a) the Company will specify, in the related Redemption Notice sent pursuant to </w:t>
      </w:r>
      <w:r>
        <w:rPr>
          <w:rFonts w:ascii="Times New Roman" w:cs="Times New Roman" w:eastAsia="Times New Roman" w:hAnsi="Times New Roman"/>
          <w:sz w:val="18"/>
          <w:szCs w:val="18"/>
          <w:b w:val="1"/>
          <w:bCs w:val="1"/>
          <w:color w:val="auto"/>
        </w:rPr>
        <w:t>Section 4.04(G)</w:t>
      </w:r>
      <w:r>
        <w:rPr>
          <w:rFonts w:ascii="Times New Roman" w:cs="Times New Roman" w:eastAsia="Times New Roman" w:hAnsi="Times New Roman"/>
          <w:sz w:val="18"/>
          <w:szCs w:val="18"/>
          <w:color w:val="auto"/>
        </w:rPr>
        <w:t xml:space="preserve">, the Settlement Method that will apply to all conversions of Notes with a Conversion Date that occurs on or after the related Redemption Notice Date and before the related Redemption Date; and (b) if such Redemption Date occurs on or after November 15, 2029, then such Settlement Method must be the same Settlement Method that,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applies to all conversions of Notes with a Conversion Date that occurs on or after November 15, 2029;</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3"/>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jc w:val="both"/>
        <w:ind w:left="180" w:right="20" w:firstLine="652"/>
        <w:spacing w:after="0" w:line="266" w:lineRule="auto"/>
        <w:tabs>
          <w:tab w:leader="none" w:pos="137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Combination Settlement with respect to the conversion of a Note but does not timely notify the Holder of such Note, with a copy to the Trustee and the Conversion Agent,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w:t>
      </w:r>
    </w:p>
    <w:p>
      <w:pPr>
        <w:spacing w:after="0" w:line="17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Right to Irrevocably Fix the Settlement Method</w:t>
      </w:r>
      <w:r>
        <w:rPr>
          <w:rFonts w:ascii="Times New Roman" w:cs="Times New Roman" w:eastAsia="Times New Roman" w:hAnsi="Times New Roman"/>
          <w:sz w:val="18"/>
          <w:szCs w:val="18"/>
          <w:color w:val="auto"/>
        </w:rPr>
        <w:t>. The Company will have the right, exercisable at its election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elect Combination Settlement to apply to all conversions of Notes with a Conversion Date that occurs on or after the date such notice is sent to Holders, and eliminate a Specified Dollar Amount or range of Specified Dollar Amounts that will apply to such conversions,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(v) in no event will the Company elect Combination Settlement with a Specified Dollar Amount that is less than $1,000 per $1,000 principal amount of Notes; (w) the Settlement Method(s) so elected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above must be a Settlement Method or 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(x) no such irrevocable election will affect any Settlement Method theretofore elected (or deemed to be elected) with respect to any Note pursuant to this Indenture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(y) upon any such irrevocable election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the Default Settlement Method will automatically be deemed to be set to the Settlement Method so fixed; and (z) upon any such irrevocable election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the Company will, if needed, simultaneously change the Default Settlement Method to Combination Settlement with a Specified Dollar Amount that is consistent with such irrevocable election. Such notice, if sent, must set forth the applicable Settlement Method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(it being understood, however, that the Company may nonetheless choose to execute such an amendment at its option).</w:t>
      </w:r>
    </w:p>
    <w:p>
      <w:pPr>
        <w:spacing w:after="0" w:line="366"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2"/>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8" w:name="page59"/>
    <w:bookmarkEnd w:id="58"/>
    <w:p>
      <w:pPr>
        <w:jc w:val="both"/>
        <w:ind w:left="4" w:firstLine="644"/>
        <w:spacing w:after="0" w:line="261" w:lineRule="auto"/>
        <w:tabs>
          <w:tab w:leader="none" w:pos="139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 to Publicly Disclose the Fixed or Default Settlement Method. </w:t>
      </w:r>
      <w:r>
        <w:rPr>
          <w:rFonts w:ascii="Times New Roman" w:cs="Times New Roman" w:eastAsia="Times New Roman" w:hAnsi="Times New Roman"/>
          <w:sz w:val="18"/>
          <w:szCs w:val="18"/>
          <w:color w:val="auto"/>
        </w:rPr>
        <w:t>If the Company changes the Default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 pursuant to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of the proviso to the definition of such term or irrevocably fixes the Settlement Method(s) pursuant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then the Company will either post the Default Settlement Method or fixed Settlement Method(s), as applicable, on its website or disclose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in a Current Report on Form 8-K (or any successor form) that is filed with, or furnished to, the SEC.</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Consideration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firstLine="644"/>
        <w:spacing w:after="0" w:line="286" w:lineRule="auto"/>
        <w:tabs>
          <w:tab w:leader="none" w:pos="11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5.03(B)(ii)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5.03(B)(iii)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5.09(A)(2)</w:t>
      </w:r>
      <w:r>
        <w:rPr>
          <w:rFonts w:ascii="Times New Roman" w:cs="Times New Roman" w:eastAsia="Times New Roman" w:hAnsi="Times New Roman"/>
          <w:sz w:val="18"/>
          <w:szCs w:val="18"/>
          <w:color w:val="auto"/>
        </w:rPr>
        <w:t>, the type and amount of consideration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due in respect of each $1,000 principal amount of a Note to be converted will be as follows:</w:t>
      </w:r>
    </w:p>
    <w:p>
      <w:pPr>
        <w:spacing w:after="0" w:line="158"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1969"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Cash Settlement applies to such conversion, cash in an amount equal to the sum of the Daily Conversion Values for each VWAP Trading Day in the Observation Period for such conversion; or</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01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25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If Combination Settlement applies to the conversion of any Note and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deliverable pursuant to </w:t>
      </w:r>
      <w:r>
        <w:rPr>
          <w:rFonts w:ascii="Times New Roman" w:cs="Times New Roman" w:eastAsia="Times New Roman" w:hAnsi="Times New Roman"/>
          <w:sz w:val="18"/>
          <w:szCs w:val="18"/>
          <w:b w:val="1"/>
          <w:bCs w:val="1"/>
          <w:color w:val="auto"/>
        </w:rPr>
        <w:t>Section 5.03(B)(i)</w:t>
      </w:r>
      <w:r>
        <w:rPr>
          <w:rFonts w:ascii="Times New Roman" w:cs="Times New Roman" w:eastAsia="Times New Roman" w:hAnsi="Times New Roman"/>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the Daily VWAP on the last VWAP Trading Day of the Observation Period for such conversion.</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121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Multiple Notes by a Single Holder</w:t>
      </w:r>
      <w:r>
        <w:rPr>
          <w:rFonts w:ascii="Times New Roman" w:cs="Times New Roman" w:eastAsia="Times New Roman" w:hAnsi="Times New Roman"/>
          <w:sz w:val="18"/>
          <w:szCs w:val="18"/>
          <w:color w:val="auto"/>
        </w:rPr>
        <w:t>. If a Holder converts more than one (1) Note on a single Conversion Date,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35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Calculation of Conversion Consideration</w:t>
      </w:r>
      <w:r>
        <w:rPr>
          <w:rFonts w:ascii="Times New Roman" w:cs="Times New Roman" w:eastAsia="Times New Roman" w:hAnsi="Times New Roman"/>
          <w:sz w:val="18"/>
          <w:szCs w:val="18"/>
          <w:color w:val="auto"/>
        </w:rPr>
        <w:t>. If any Note is to be converted, then the Company will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352"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59" w:name="page60"/>
    <w:bookmarkEnd w:id="59"/>
    <w:p>
      <w:pPr>
        <w:jc w:val="both"/>
        <w:ind w:firstLine="656"/>
        <w:spacing w:after="0" w:line="268" w:lineRule="auto"/>
        <w:tabs>
          <w:tab w:leader="none" w:pos="14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5.05(D)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w:t>
      </w:r>
      <w:r>
        <w:rPr>
          <w:rFonts w:ascii="Times New Roman" w:cs="Times New Roman" w:eastAsia="Times New Roman" w:hAnsi="Times New Roman"/>
          <w:sz w:val="18"/>
          <w:szCs w:val="18"/>
          <w:color w:val="auto"/>
        </w:rPr>
        <w:t>, the Company will pay or deliver,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the Conversion Consideration due upon the conversion of any Note to the Holder on the second (2nd) Business Day immediately after the last VWAP Trading Day of the Observation Period for such conversion.</w:t>
      </w:r>
    </w:p>
    <w:p>
      <w:pPr>
        <w:spacing w:after="0" w:line="172"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Deemed Payment of Principal and Interest; Settlement of Accrued Interest Notwithstanding Conversion</w:t>
      </w:r>
      <w:r>
        <w:rPr>
          <w:rFonts w:ascii="Times New Roman" w:cs="Times New Roman" w:eastAsia="Times New Roman" w:hAnsi="Times New Roman"/>
          <w:sz w:val="18"/>
          <w:szCs w:val="18"/>
          <w:color w:val="auto"/>
        </w:rPr>
        <w:t>. If a Holder converts a Note,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will not adjust the Conversion Rate to account for any accrued and unpaid interest on such Note, and,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any accrued and unpaid interest on a converted Note will be deemed to be paid in full rather than cancelled, extinguished or forfeited. In addition, subject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if the Conversion Consideration for a Note consists of both cash and shares of Common Stock, then accrued and unpaid interest that is deemed to be paid therewith will be deemed to be paid first out of such cash.</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5.04.</w:t>
        <w:tab/>
        <w:t>R</w:t>
      </w:r>
      <w:r>
        <w:rPr>
          <w:rFonts w:ascii="Times New Roman" w:cs="Times New Roman" w:eastAsia="Times New Roman" w:hAnsi="Times New Roman"/>
          <w:sz w:val="12"/>
          <w:szCs w:val="12"/>
          <w:b w:val="1"/>
          <w:bCs w:val="1"/>
          <w:color w:val="auto"/>
        </w:rPr>
        <w:t>eserve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tatus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7" w:lineRule="auto"/>
        <w:tabs>
          <w:tab w:leader="none" w:pos="137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Reserve</w:t>
      </w:r>
      <w:r>
        <w:rPr>
          <w:rFonts w:ascii="Times New Roman" w:cs="Times New Roman" w:eastAsia="Times New Roman" w:hAnsi="Times New Roman"/>
          <w:sz w:val="18"/>
          <w:szCs w:val="18"/>
          <w:color w:val="auto"/>
        </w:rPr>
        <w:t>. At all times when any Notes are outstanding, the Company will reserve (out of its authorized and not outstanding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unissued shares of Common Stock that are not reserved for other purposes) a number of shares of Common Stock equal to the product of (i) the aggregate principal amount (expressed in thousands) of all then-outstanding Notes; and (ii) the Conversion Rate for the Notes (assuming, for these purposes, that the Conversion Rate is increased by the maximum amount pursuant to which the Conversion Rate may be increased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3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Conversion Share, if any, delivered upon conversion of any Note will be a newly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treasury share (except that any Conversion Share delivered by a designated financial institution pursuant to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35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5.05.</w:t>
        <w:tab/>
        <w:t>A</w:t>
      </w:r>
      <w:r>
        <w:rPr>
          <w:rFonts w:ascii="Times New Roman" w:cs="Times New Roman" w:eastAsia="Times New Roman" w:hAnsi="Times New Roman"/>
          <w:sz w:val="12"/>
          <w:szCs w:val="12"/>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Requiring an Adjustment to the Conversion Rate</w:t>
      </w:r>
      <w:r>
        <w:rPr>
          <w:rFonts w:ascii="Times New Roman" w:cs="Times New Roman" w:eastAsia="Times New Roman" w:hAnsi="Times New Roman"/>
          <w:sz w:val="18"/>
          <w:szCs w:val="18"/>
          <w:color w:val="auto"/>
        </w:rPr>
        <w:t>. The Conversion Rate will be adjusted from time to time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8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Dividends, Splits and Combinations</w:t>
      </w:r>
      <w:r>
        <w:rPr>
          <w:rFonts w:ascii="Times New Roman" w:cs="Times New Roman" w:eastAsia="Times New Roman" w:hAnsi="Times New Roman"/>
          <w:sz w:val="18"/>
          <w:szCs w:val="18"/>
          <w:color w:val="auto"/>
        </w:rPr>
        <w:t>. If the Company issues solely shares of Common Stock as a dividend or distribution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 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-9525</wp:posOffset>
            </wp:positionV>
            <wp:extent cx="1123315" cy="514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233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40" w:type="dxa"/>
            <w:vAlign w:val="bottom"/>
          </w:tcPr>
          <w:p>
            <w:pPr>
              <w:spacing w:after="0"/>
              <w:rPr>
                <w:sz w:val="20"/>
                <w:szCs w:val="20"/>
                <w:color w:val="auto"/>
              </w:rPr>
            </w:pPr>
          </w:p>
        </w:tc>
        <w:tc>
          <w:tcPr>
            <w:tcW w:w="9600" w:type="dxa"/>
            <w:vAlign w:val="bottom"/>
          </w:tcPr>
          <w:p>
            <w:pPr>
              <w:spacing w:after="0"/>
              <w:rPr>
                <w:sz w:val="20"/>
                <w:szCs w:val="20"/>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r>
      <w:tr>
        <w:trPr>
          <w:trHeight w:val="216"/>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 or immediately before the Open of Business on the effective date of such stock split or stock combination, as</w:t>
            </w:r>
          </w:p>
        </w:tc>
      </w:tr>
      <w:tr>
        <w:trPr>
          <w:trHeight w:val="234"/>
        </w:trPr>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the Open of Business on</w:t>
            </w:r>
          </w:p>
        </w:tc>
      </w:tr>
      <w:tr>
        <w:trPr>
          <w:trHeight w:val="234"/>
        </w:trPr>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such effective date, as applicable;</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Open of Business on such Ex-Dividend Date or</w:t>
            </w:r>
          </w:p>
        </w:tc>
      </w:tr>
      <w:tr>
        <w:trPr>
          <w:trHeight w:val="234"/>
        </w:trPr>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effective date, as applicable, without giving effect to such dividend, distribution, stock split or stock combination; and</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stock split or</w:t>
            </w:r>
          </w:p>
        </w:tc>
      </w:tr>
      <w:tr>
        <w:trPr>
          <w:trHeight w:val="234"/>
        </w:trPr>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combination.</w:t>
            </w:r>
          </w:p>
        </w:tc>
      </w:tr>
    </w:tbl>
    <w:p>
      <w:pPr>
        <w:spacing w:after="0" w:line="194"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If any dividend, distribution, stock split or stock combination of the type described in this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both"/>
        <w:ind w:left="4" w:firstLine="644"/>
        <w:spacing w:after="0" w:line="257" w:lineRule="auto"/>
        <w:tabs>
          <w:tab w:leader="none" w:pos="1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Options and Warrants</w:t>
      </w:r>
      <w:r>
        <w:rPr>
          <w:rFonts w:ascii="Times New Roman" w:cs="Times New Roman" w:eastAsia="Times New Roman" w:hAnsi="Times New Roman"/>
          <w:sz w:val="18"/>
          <w:szCs w:val="18"/>
          <w:color w:val="auto"/>
        </w:rPr>
        <w:t>. If the Company distributes, to all or substantially all holders of Common Stock, rights,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Sections 5.05(A)(iii)(1)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5.05(F)</w:t>
      </w:r>
      <w:r>
        <w:rPr>
          <w:rFonts w:ascii="Times New Roman" w:cs="Times New Roman" w:eastAsia="Times New Roman" w:hAnsi="Times New Roman"/>
          <w:sz w:val="18"/>
          <w:szCs w:val="18"/>
          <w:color w:val="auto"/>
        </w:rPr>
        <w:t xml:space="preserve"> will apply) entitling such holders,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-8255</wp:posOffset>
            </wp:positionV>
            <wp:extent cx="1174115" cy="5740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7411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r>
      <w:tr>
        <w:trPr>
          <w:trHeight w:val="449"/>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15"/>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X</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total number of shares of Common Stock issuable pursuant to such rights, options or warrants; and</w:t>
            </w:r>
          </w:p>
        </w:tc>
      </w:tr>
    </w:tbl>
    <w:p>
      <w:pPr>
        <w:spacing w:after="0" w:line="198" w:lineRule="exact"/>
        <w:rPr>
          <w:sz w:val="20"/>
          <w:szCs w:val="20"/>
          <w:color w:val="auto"/>
        </w:rPr>
      </w:pPr>
    </w:p>
    <w:p>
      <w:pPr>
        <w:ind w:left="1304" w:hanging="1304"/>
        <w:spacing w:after="0" w:line="266" w:lineRule="auto"/>
        <w:tabs>
          <w:tab w:leader="none" w:pos="588"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7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w:t>
      </w:r>
    </w:p>
    <w:p>
      <w:pPr>
        <w:spacing w:after="0" w:line="358"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4"/>
          <w:szCs w:val="14"/>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5.01(C)(i)(3)(a)(I)</w:t>
      </w:r>
      <w:r>
        <w:rPr>
          <w:rFonts w:ascii="Times New Roman" w:cs="Times New Roman" w:eastAsia="Times New Roman" w:hAnsi="Times New Roman"/>
          <w:sz w:val="18"/>
          <w:szCs w:val="18"/>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spacing w:after="0" w:line="184" w:lineRule="exact"/>
        <w:rPr>
          <w:sz w:val="20"/>
          <w:szCs w:val="20"/>
          <w:color w:val="auto"/>
        </w:rPr>
      </w:pPr>
    </w:p>
    <w:p>
      <w:pPr>
        <w:ind w:left="1280" w:hanging="636"/>
        <w:spacing w:after="0"/>
        <w:tabs>
          <w:tab w:leader="none" w:pos="1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 and Other Distributed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7" w:lineRule="auto"/>
        <w:tabs>
          <w:tab w:leader="none" w:pos="188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Other than Spin-Offs</w:t>
      </w:r>
      <w:r>
        <w:rPr>
          <w:rFonts w:ascii="Times New Roman" w:cs="Times New Roman" w:eastAsia="Times New Roman" w:hAnsi="Times New Roman"/>
          <w:sz w:val="18"/>
          <w:szCs w:val="18"/>
          <w:color w:val="auto"/>
        </w:rPr>
        <w:t>. If the Company distributes shares of its Capital Stock, evidences of its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assets or property of the Company, or rights, options or warrants to acquire Capital Stock of the Company or other securities, to all or substantially all holders of the Common Stock, excluding:</w:t>
      </w:r>
    </w:p>
    <w:p>
      <w:pPr>
        <w:spacing w:after="0" w:line="175" w:lineRule="exact"/>
        <w:rPr>
          <w:rFonts w:ascii="Times New Roman" w:cs="Times New Roman" w:eastAsia="Times New Roman" w:hAnsi="Times New Roman"/>
          <w:sz w:val="18"/>
          <w:szCs w:val="18"/>
          <w:color w:val="auto"/>
        </w:rPr>
      </w:pPr>
    </w:p>
    <w:p>
      <w:pPr>
        <w:ind w:left="1300" w:firstLine="640"/>
        <w:spacing w:after="0" w:line="282" w:lineRule="auto"/>
        <w:tabs>
          <w:tab w:leader="none" w:pos="2583"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5.05(A)(ii)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20" w:firstLine="640"/>
        <w:spacing w:after="0" w:line="282" w:lineRule="auto"/>
        <w:tabs>
          <w:tab w:leader="none" w:pos="260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60" w:hanging="720"/>
        <w:spacing w:after="0"/>
        <w:tabs>
          <w:tab w:leader="none" w:pos="26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issued or otherwise distributed pursuant to a stockholder rights plan, except to the extent provided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300" w:right="20" w:firstLine="640"/>
        <w:spacing w:after="0" w:line="282" w:lineRule="auto"/>
        <w:tabs>
          <w:tab w:leader="none" w:pos="2569"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Spin-Offs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5.05(A)(iii)(2)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640"/>
        <w:spacing w:after="0" w:line="282" w:lineRule="auto"/>
        <w:tabs>
          <w:tab w:leader="none" w:pos="2655"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tender offer or exchange offer for shares of Common Stock, as to which </w:t>
      </w:r>
      <w:r>
        <w:rPr>
          <w:rFonts w:ascii="Times New Roman" w:cs="Times New Roman" w:eastAsia="Times New Roman" w:hAnsi="Times New Roman"/>
          <w:sz w:val="18"/>
          <w:szCs w:val="18"/>
          <w:b w:val="1"/>
          <w:bCs w:val="1"/>
          <w:color w:val="auto"/>
        </w:rPr>
        <w:t xml:space="preserve">Section 5.05(A)(v) </w:t>
      </w:r>
      <w:r>
        <w:rPr>
          <w:rFonts w:ascii="Times New Roman" w:cs="Times New Roman" w:eastAsia="Times New Roman" w:hAnsi="Times New Roman"/>
          <w:sz w:val="18"/>
          <w:szCs w:val="18"/>
          <w:color w:val="auto"/>
        </w:rPr>
        <w:t>will apply; and</w:t>
      </w:r>
    </w:p>
    <w:p>
      <w:pPr>
        <w:spacing w:after="0" w:line="157" w:lineRule="exact"/>
        <w:rPr>
          <w:rFonts w:ascii="Times New Roman" w:cs="Times New Roman" w:eastAsia="Times New Roman" w:hAnsi="Times New Roman"/>
          <w:sz w:val="18"/>
          <w:szCs w:val="18"/>
          <w:color w:val="auto"/>
        </w:rPr>
      </w:pPr>
    </w:p>
    <w:p>
      <w:pPr>
        <w:ind w:left="2580" w:hanging="640"/>
        <w:spacing w:after="0"/>
        <w:tabs>
          <w:tab w:leader="none" w:pos="25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17145</wp:posOffset>
            </wp:positionV>
            <wp:extent cx="1405890" cy="4800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058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63" w:name="page64"/>
    <w:bookmarkEnd w:id="63"/>
    <w:tbl>
      <w:tblPr>
        <w:tblLayout w:type="fixed"/>
        <w:tblInd w:w="1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8940" w:type="dxa"/>
            <w:vAlign w:val="bottom"/>
          </w:tcPr>
          <w:p>
            <w:pPr>
              <w:spacing w:after="0"/>
              <w:rPr>
                <w:sz w:val="20"/>
                <w:szCs w:val="20"/>
                <w:color w:val="auto"/>
              </w:rPr>
            </w:pPr>
          </w:p>
        </w:tc>
      </w:tr>
      <w:tr>
        <w:trPr>
          <w:trHeight w:val="449"/>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97"/>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the ten (10) consecutive Trading Days</w:t>
            </w:r>
          </w:p>
        </w:tc>
      </w:t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ending on, and including, the Trading Day immediately before such Ex-Dividend Date; and</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FMV</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fair market value (as determined by the Board of Directors), as of such Ex-Dividend Date, of the shares of Capital</w:t>
            </w: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evidences of indebtedness, assets, property, rights, options or warrants distributed per share of Common Stock</w:t>
            </w:r>
          </w:p>
        </w:tc>
      </w:t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such distribution;</w:t>
            </w:r>
          </w:p>
        </w:tc>
      </w:tr>
    </w:tbl>
    <w:p>
      <w:pPr>
        <w:spacing w:after="0" w:line="196"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8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3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4" w:name="page65"/>
    <w:bookmarkEnd w:id="64"/>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xml:space="preserve">”): (x) are deemed to be transferred with such Common Stock; (y) are not exercisable; and (z) are also issued in respect of future issuances of Common Stock, will be deemed not to have been distributed for purposes of this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(and no adjustment to the Conversion Rate under this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will be required) until the occurrence of the earliest Trigger Event, whereupon such rights, options or warrants will be deemed to have been distributed and an appropriate adjustment (if any is required) to the Conversion Rate will be made pursuant to this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If any such right, option or warrant, including any such existing rights, options or warrants distributed before the Issue Date, are subject to events, upon the occurrence of which such rights, options or warrants become exercisable to purchase different securities, evidences of indebtedness or other assets, then the date of the occurrence of any and each such event will be deemed to be the date of distribution and Ex-Dividend Date with respect to new rights, options or warrants with such rights (in which case, the existing rights, options or warrants will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pursuant to this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was made, (x) in the case of any such rights, options or warrants that shall all have been redeemed or purchased without exercise by any holders thereof, upon such final redemption or purchase (I) the Conversion Rate will be readjusted as if such rights, options or warrants had not been issued; and (II) the Conversion Rate will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(y) in the case of such rights, options or warrants that have expired or been terminated without exercise by any holders thereof, the Conversion Rate will be readjusted as if such rights, options and warrants had not been issued.</w:t>
      </w:r>
    </w:p>
    <w:p>
      <w:pPr>
        <w:spacing w:after="0" w:line="187" w:lineRule="exact"/>
        <w:rPr>
          <w:sz w:val="20"/>
          <w:szCs w:val="20"/>
          <w:color w:val="auto"/>
        </w:rPr>
      </w:pPr>
    </w:p>
    <w:p>
      <w:pPr>
        <w:jc w:val="both"/>
        <w:ind w:left="1300" w:firstLine="652"/>
        <w:spacing w:after="0" w:line="257" w:lineRule="auto"/>
        <w:tabs>
          <w:tab w:leader="none" w:pos="2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w:t>
      </w:r>
      <w:r>
        <w:rPr>
          <w:rFonts w:ascii="Times New Roman" w:cs="Times New Roman" w:eastAsia="Times New Roman" w:hAnsi="Times New Roman"/>
          <w:sz w:val="18"/>
          <w:szCs w:val="18"/>
          <w:color w:val="auto"/>
        </w:rPr>
        <w:t>. If the Company distributes or dividends shares of Capital Stock of any class or series, or similar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interests, 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or (y) a tender offer or exchange offer for shares of Common Stock, as to which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-8255</wp:posOffset>
            </wp:positionV>
            <wp:extent cx="1380490" cy="514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804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8940" w:type="dxa"/>
            <w:vAlign w:val="bottom"/>
          </w:tcPr>
          <w:p>
            <w:pPr>
              <w:spacing w:after="0"/>
              <w:rPr>
                <w:sz w:val="20"/>
                <w:szCs w:val="20"/>
                <w:color w:val="auto"/>
              </w:rPr>
            </w:pPr>
          </w:p>
        </w:tc>
      </w:tr>
      <w:tr>
        <w:trPr>
          <w:trHeight w:val="414"/>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Spin-Off</w:t>
            </w:r>
          </w:p>
        </w:tc>
      </w:tr>
      <w:tr>
        <w:trPr>
          <w:trHeight w:val="234"/>
        </w:trPr>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Valuation Period for such Spin-Off;</w:t>
            </w:r>
          </w:p>
        </w:tc>
      </w:tr>
      <w:tr>
        <w:trPr>
          <w:trHeight w:val="414"/>
        </w:trPr>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the Conversion Rate in effect immediately after the Close of Business on the last Trading Day of the Spin-Off Valuation</w:t>
            </w:r>
          </w:p>
        </w:tc>
      </w:tr>
      <w:tr>
        <w:trPr>
          <w:trHeight w:val="234"/>
        </w:trPr>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Period;</w:t>
            </w:r>
          </w:p>
        </w:tc>
      </w:tr>
      <w:tr>
        <w:trPr>
          <w:trHeight w:val="557"/>
        </w:trPr>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4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- 56 -</w:t>
            </w:r>
          </w:p>
        </w:tc>
      </w:tr>
      <w:tr>
        <w:trPr>
          <w:trHeight w:val="44"/>
        </w:trPr>
        <w:tc>
          <w:tcPr>
            <w:tcW w:w="1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8"/>
          <w:szCs w:val="18"/>
          <w:i w:val="1"/>
          <w:iCs w:val="1"/>
          <w:color w:val="auto"/>
        </w:rPr>
        <w:t>FMV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the product of (x) the average of the Last Reported Sale Prices per share or unit of the Capital Stock or equity interests distributed in such Spin-Off over the ten (10) consecutive Trading Day period (the “</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p>
      <w:pPr>
        <w:spacing w:after="0" w:line="185" w:lineRule="exact"/>
        <w:rPr>
          <w:sz w:val="20"/>
          <w:szCs w:val="20"/>
          <w:color w:val="auto"/>
        </w:rPr>
      </w:pPr>
    </w:p>
    <w:p>
      <w:pPr>
        <w:sectPr>
          <w:pgSz w:w="11900" w:h="16838" w:orient="portrait"/>
          <w:cols w:equalWidth="0" w:num="3">
            <w:col w:w="1680" w:space="200"/>
            <w:col w:w="100" w:space="620"/>
            <w:col w:w="8640"/>
          </w:cols>
          <w:pgMar w:left="320" w:top="119" w:right="339" w:bottom="1440" w:gutter="0" w:footer="0" w:header="0"/>
        </w:sectPr>
      </w:pPr>
    </w:p>
    <w:p>
      <w:pPr>
        <w:ind w:left="1300"/>
        <w:spacing w:after="0"/>
        <w:rPr>
          <w:sz w:val="20"/>
          <w:szCs w:val="20"/>
          <w:color w:val="auto"/>
        </w:rPr>
      </w:pPr>
      <w:r>
        <w:rPr>
          <w:rFonts w:ascii="Times New Roman" w:cs="Times New Roman" w:eastAsia="Times New Roman" w:hAnsi="Times New Roman"/>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each Trading Day in the Spin-Off Valuation Period.</w:t>
      </w:r>
    </w:p>
    <w:p>
      <w:pPr>
        <w:spacing w:after="0" w:line="158" w:lineRule="exact"/>
        <w:rPr>
          <w:sz w:val="20"/>
          <w:szCs w:val="20"/>
          <w:color w:val="auto"/>
        </w:rPr>
      </w:pPr>
    </w:p>
    <w:p>
      <w:pPr>
        <w:sectPr>
          <w:pgSz w:w="11900" w:h="16838" w:orient="portrait"/>
          <w:cols w:equalWidth="0" w:num="3">
            <w:col w:w="1500" w:space="380"/>
            <w:col w:w="100" w:space="620"/>
            <w:col w:w="8640"/>
          </w:cols>
          <w:pgMar w:left="320" w:top="119" w:right="339" w:bottom="1440" w:gutter="0" w:footer="0" w:header="0"/>
          <w:type w:val="continuous"/>
        </w:sect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if any VWAP Trading Day of the Observation Period for a Note to be converted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w:t>
      </w:r>
    </w:p>
    <w:p>
      <w:pPr>
        <w:spacing w:after="0" w:line="176"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set forth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73" w:lineRule="exact"/>
        <w:rPr>
          <w:sz w:val="20"/>
          <w:szCs w:val="20"/>
          <w:color w:val="auto"/>
        </w:rPr>
      </w:pPr>
    </w:p>
    <w:p>
      <w:pPr>
        <w:ind w:left="660" w:firstLine="644"/>
        <w:spacing w:after="0" w:line="284" w:lineRule="auto"/>
        <w:tabs>
          <w:tab w:leader="none" w:pos="20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Dividends or Distributions</w:t>
      </w:r>
      <w:r>
        <w:rPr>
          <w:rFonts w:ascii="Times New Roman" w:cs="Times New Roman" w:eastAsia="Times New Roman" w:hAnsi="Times New Roman"/>
          <w:sz w:val="18"/>
          <w:szCs w:val="18"/>
          <w:color w:val="auto"/>
        </w:rPr>
        <w:t>. If any cash dividend or distribution is made to all or substantially all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-23495</wp:posOffset>
            </wp:positionV>
            <wp:extent cx="1217295" cy="4800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172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where:</w:t>
            </w:r>
          </w:p>
        </w:tc>
        <w:tc>
          <w:tcPr>
            <w:tcW w:w="440" w:type="dxa"/>
            <w:vAlign w:val="bottom"/>
          </w:tcPr>
          <w:p>
            <w:pPr>
              <w:spacing w:after="0"/>
              <w:rPr>
                <w:sz w:val="20"/>
                <w:szCs w:val="20"/>
                <w:color w:val="auto"/>
              </w:rPr>
            </w:pPr>
          </w:p>
        </w:tc>
        <w:tc>
          <w:tcPr>
            <w:tcW w:w="9600" w:type="dxa"/>
            <w:vAlign w:val="bottom"/>
          </w:tcPr>
          <w:p>
            <w:pPr>
              <w:spacing w:after="0"/>
              <w:rPr>
                <w:sz w:val="20"/>
                <w:szCs w:val="20"/>
                <w:color w:val="auto"/>
              </w:rPr>
            </w:pP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w:t>
            </w:r>
          </w:p>
        </w:tc>
      </w:tr>
      <w:tr>
        <w:trPr>
          <w:trHeight w:val="449"/>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15"/>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SP</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Last Reported Sale Price per share of Common Stock on the Trading Day immediately before such Ex-Dividend Date; and</w:t>
            </w:r>
          </w:p>
        </w:tc>
      </w:tr>
      <w:tr>
        <w:trPr>
          <w:trHeight w:val="432"/>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D</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cash amount distributed per share of Common Stock in such dividend or distribution;</w:t>
            </w:r>
          </w:p>
        </w:tc>
      </w:tr>
      <w:tr>
        <w:trPr>
          <w:trHeight w:val="557"/>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tcPr>
          <w:p>
            <w:pPr>
              <w:ind w:left="3820"/>
              <w:spacing w:after="0"/>
              <w:rPr>
                <w:sz w:val="20"/>
                <w:szCs w:val="20"/>
                <w:color w:val="auto"/>
              </w:rPr>
            </w:pPr>
            <w:r>
              <w:rPr>
                <w:rFonts w:ascii="Times New Roman" w:cs="Times New Roman" w:eastAsia="Times New Roman" w:hAnsi="Times New Roman"/>
                <w:sz w:val="14"/>
                <w:szCs w:val="14"/>
                <w:color w:val="auto"/>
              </w:rPr>
              <w:t>- 57 -</w:t>
            </w:r>
          </w:p>
        </w:tc>
      </w:tr>
      <w:tr>
        <w:trPr>
          <w:trHeight w:val="44"/>
        </w:trPr>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type w:val="continuous"/>
        </w:sectPr>
      </w:pPr>
    </w:p>
    <w:bookmarkStart w:id="66" w:name="page67"/>
    <w:bookmarkEnd w:id="66"/>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if such Holder had owned, on such Record Date, a number of shares of Common Stock equal to the Conversion Rate in effect on such Record Date.</w:t>
      </w:r>
    </w:p>
    <w:p>
      <w:pPr>
        <w:spacing w:after="0" w:line="18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60" w:lineRule="exact"/>
        <w:rPr>
          <w:sz w:val="20"/>
          <w:szCs w:val="20"/>
          <w:color w:val="auto"/>
        </w:rPr>
      </w:pPr>
    </w:p>
    <w:p>
      <w:pPr>
        <w:jc w:val="both"/>
        <w:ind w:left="660" w:firstLine="644"/>
        <w:spacing w:after="0" w:line="257" w:lineRule="auto"/>
        <w:tabs>
          <w:tab w:leader="none" w:pos="20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Tender Offers or Exchange Offers</w:t>
      </w:r>
      <w:r>
        <w:rPr>
          <w:rFonts w:ascii="Times New Roman" w:cs="Times New Roman" w:eastAsia="Times New Roman" w:hAnsi="Times New Roman"/>
          <w:sz w:val="18"/>
          <w:szCs w:val="18"/>
          <w:color w:val="auto"/>
        </w:rPr>
        <w:t>. If the Company or any of its Subsidiaries makes a payment in respect of a tender offer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offer for shares of Common Stock (other than solely pursuant to an odd-lot tender offer pursuant to Rule 13e-4(h)(5) under the Exchange Act), and the value (determined as of the Expiration Time by the Board of Directors)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-8255</wp:posOffset>
            </wp:positionV>
            <wp:extent cx="1697355" cy="462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973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where:</w:t>
            </w:r>
          </w:p>
        </w:tc>
        <w:tc>
          <w:tcPr>
            <w:tcW w:w="440" w:type="dxa"/>
            <w:vAlign w:val="bottom"/>
          </w:tcPr>
          <w:p>
            <w:pPr>
              <w:spacing w:after="0"/>
              <w:rPr>
                <w:sz w:val="20"/>
                <w:szCs w:val="20"/>
                <w:color w:val="auto"/>
              </w:rPr>
            </w:pPr>
          </w:p>
        </w:tc>
        <w:tc>
          <w:tcPr>
            <w:tcW w:w="9600" w:type="dxa"/>
            <w:vAlign w:val="bottom"/>
          </w:tcPr>
          <w:p>
            <w:pPr>
              <w:spacing w:after="0"/>
              <w:rPr>
                <w:sz w:val="20"/>
                <w:szCs w:val="20"/>
                <w:color w:val="auto"/>
              </w:rPr>
            </w:pP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Tender/Exchange Offer</w:t>
            </w:r>
          </w:p>
        </w:tc>
      </w:t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Valuation Period for such tender or exchange offer;</w:t>
            </w: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last Trading Day of the Tender/Exchange Offer</w:t>
            </w:r>
          </w:p>
        </w:tc>
      </w:t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Valuation Period;</w:t>
            </w: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AC</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aggregate value (determined as of the time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such tender or exchange offer expires by the Board of</w:t>
            </w:r>
          </w:p>
        </w:tc>
      </w:tr>
      <w:tr>
        <w:trPr>
          <w:trHeight w:val="216"/>
        </w:trPr>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Directors) of all cash and other consideration paid or payable for shares of Common Stock purchased or exchanged in such</w:t>
            </w:r>
          </w:p>
        </w:tc>
      </w:t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tender or exchange offer;</w:t>
            </w: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Expiration Time (including all shares of Common</w:t>
            </w:r>
          </w:p>
        </w:tc>
      </w:t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w:t>
            </w:r>
          </w:p>
        </w:tc>
      </w:tr>
      <w:tr>
        <w:trPr>
          <w:trHeight w:val="557"/>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tcPr>
          <w:p>
            <w:pPr>
              <w:ind w:left="3820"/>
              <w:spacing w:after="0"/>
              <w:rPr>
                <w:sz w:val="20"/>
                <w:szCs w:val="20"/>
                <w:color w:val="auto"/>
              </w:rPr>
            </w:pPr>
            <w:r>
              <w:rPr>
                <w:rFonts w:ascii="Times New Roman" w:cs="Times New Roman" w:eastAsia="Times New Roman" w:hAnsi="Times New Roman"/>
                <w:sz w:val="14"/>
                <w:szCs w:val="14"/>
                <w:color w:val="auto"/>
              </w:rPr>
              <w:t>- 58 -</w:t>
            </w:r>
          </w:p>
        </w:tc>
      </w:tr>
      <w:tr>
        <w:trPr>
          <w:trHeight w:val="44"/>
        </w:trPr>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after the Expiration Time (excluding all shares of Common Stock accepted for purchase or exchange in such tender or exchange offer); and</w:t>
      </w:r>
    </w:p>
    <w:p>
      <w:pPr>
        <w:spacing w:after="0" w:line="160" w:lineRule="exact"/>
        <w:rPr>
          <w:sz w:val="20"/>
          <w:szCs w:val="20"/>
          <w:color w:val="auto"/>
        </w:rPr>
      </w:pPr>
    </w:p>
    <w:p>
      <w:pPr>
        <w:sectPr>
          <w:pgSz w:w="11900" w:h="16838" w:orient="portrait"/>
          <w:cols w:equalWidth="0" w:num="3">
            <w:col w:w="304" w:space="280"/>
            <w:col w:w="100" w:space="620"/>
            <w:col w:w="9280"/>
          </w:cols>
          <w:pgMar w:left="976" w:top="119" w:right="339" w:bottom="1440" w:gutter="0" w:footer="0" w:header="0"/>
        </w:sectPr>
      </w:pPr>
    </w:p>
    <w:p>
      <w:pPr>
        <w:ind w:left="4"/>
        <w:spacing w:after="0"/>
        <w:rPr>
          <w:sz w:val="20"/>
          <w:szCs w:val="20"/>
          <w:color w:val="auto"/>
        </w:rPr>
      </w:pPr>
      <w:r>
        <w:rPr>
          <w:rFonts w:ascii="Times New Roman" w:cs="Times New Roman" w:eastAsia="Times New Roman" w:hAnsi="Times New Roman"/>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of the Last Reported Sale Prices per share of Common Stock over the ten (10) consecutive Trading Day period (the “</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beginning on, and including, the Trading Day immediately after the Expiration Date;</w:t>
      </w:r>
    </w:p>
    <w:p>
      <w:pPr>
        <w:spacing w:after="0" w:line="172" w:lineRule="exact"/>
        <w:rPr>
          <w:sz w:val="20"/>
          <w:szCs w:val="20"/>
          <w:color w:val="auto"/>
        </w:rPr>
      </w:pPr>
    </w:p>
    <w:p>
      <w:pPr>
        <w:sectPr>
          <w:pgSz w:w="11900" w:h="16838" w:orient="portrait"/>
          <w:cols w:equalWidth="0" w:num="3">
            <w:col w:w="204" w:space="380"/>
            <w:col w:w="100" w:space="620"/>
            <w:col w:w="9280"/>
          </w:cols>
          <w:pgMar w:left="976" w:top="119" w:right="339" w:bottom="1440" w:gutter="0" w:footer="0" w:header="0"/>
          <w:type w:val="continuous"/>
        </w:sectPr>
      </w:pPr>
    </w:p>
    <w:p>
      <w:pPr>
        <w:jc w:val="both"/>
        <w:ind w:left="4"/>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Conversion Rate will in no event be adjusted down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except to the extent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immediately following paragraph. Notwithstanding anything to the contrary in this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any VWAP Trading Day of the Observation Period for a Note to be converted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w:t>
      </w:r>
    </w:p>
    <w:p>
      <w:pPr>
        <w:spacing w:after="0" w:line="186"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81" w:lineRule="exact"/>
        <w:rPr>
          <w:sz w:val="20"/>
          <w:szCs w:val="20"/>
          <w:color w:val="auto"/>
        </w:rPr>
      </w:pPr>
    </w:p>
    <w:p>
      <w:pPr>
        <w:ind w:left="644" w:hanging="644"/>
        <w:spacing w:after="0"/>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25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Holders Participate in the Transaction or Event Without Conversion</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 the Company will not be obligated to adjust the Conversion Rate on account of a transaction or other event otherwise requiring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(other than a stock split or combination of the type set forth in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a tender or exchange offer of the type set forth in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357"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type w:val="continuous"/>
        </w:sectPr>
      </w:pPr>
    </w:p>
    <w:bookmarkStart w:id="68" w:name="page69"/>
    <w:bookmarkEnd w:id="68"/>
    <w:p>
      <w:pPr>
        <w:ind w:left="1304" w:hanging="656"/>
        <w:spacing w:after="0"/>
        <w:tabs>
          <w:tab w:leader="none" w:pos="13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 The Company will not be required to adjust the Conversion Rate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Without limiting the foregoing, the Company will not be obligated to adjust the Conversion Rate on account of:</w:t>
      </w:r>
    </w:p>
    <w:p>
      <w:pPr>
        <w:spacing w:after="0" w:line="202" w:lineRule="exact"/>
        <w:rPr>
          <w:rFonts w:ascii="Times New Roman" w:cs="Times New Roman" w:eastAsia="Times New Roman" w:hAnsi="Times New Roman"/>
          <w:sz w:val="18"/>
          <w:szCs w:val="18"/>
          <w:color w:val="auto"/>
        </w:rPr>
      </w:pPr>
    </w:p>
    <w:p>
      <w:pPr>
        <w:ind w:left="644" w:firstLine="652"/>
        <w:spacing w:after="0" w:line="286" w:lineRule="auto"/>
        <w:tabs>
          <w:tab w:leader="none" w:pos="1941"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the Conversion Price;</w:t>
      </w:r>
    </w:p>
    <w:p>
      <w:pPr>
        <w:spacing w:after="0" w:line="158"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98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91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61" w:lineRule="exact"/>
        <w:rPr>
          <w:rFonts w:ascii="Times New Roman" w:cs="Times New Roman" w:eastAsia="Times New Roman" w:hAnsi="Times New Roman"/>
          <w:sz w:val="18"/>
          <w:szCs w:val="18"/>
          <w:color w:val="auto"/>
        </w:rPr>
      </w:pPr>
    </w:p>
    <w:p>
      <w:pPr>
        <w:ind w:left="644" w:firstLine="652"/>
        <w:spacing w:after="0" w:line="282" w:lineRule="auto"/>
        <w:tabs>
          <w:tab w:leader="none" w:pos="2017"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option, warrant, right or convertible or exchangeable security of the Company outstanding as of the Issue Date;</w:t>
      </w:r>
    </w:p>
    <w:p>
      <w:pPr>
        <w:spacing w:after="0" w:line="161"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 change in the par value of the Common Stock; or</w:t>
      </w:r>
    </w:p>
    <w:p>
      <w:pPr>
        <w:spacing w:after="0" w:line="22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the Notes.</w:t>
      </w:r>
    </w:p>
    <w:p>
      <w:pPr>
        <w:spacing w:after="0" w:line="221"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64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adjustment to the Conversion Rate otherwise required by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would result in a change of less than one percent (1%) to the Conversion Rate, then, 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the Company may, at its election, defer such adjustment, except that all such deferred adjustments must be given effect immediately upon the earliest of the following: (i) when all such deferred adjustments would result in an aggregate change of at least one percent (1%) to the Conversion Rate; (ii) the Conversion Date of, or any VWAP Trading Day of an Observation Period for, any Note; (iii) the effective date of a Fundamental Change or a Make-Whole Fundamental Change Effective Date; (iv) the date the Company calls any Notes for Redemption; and (v) November 15, 2029.</w:t>
      </w:r>
    </w:p>
    <w:p>
      <w:pPr>
        <w:spacing w:after="0" w:line="184"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Not Yet Effective</w:t>
      </w:r>
      <w:r>
        <w:rPr>
          <w:rFonts w:ascii="Times New Roman" w:cs="Times New Roman" w:eastAsia="Times New Roman" w:hAnsi="Times New Roman"/>
          <w:sz w:val="18"/>
          <w:szCs w:val="18"/>
          <w:color w:val="auto"/>
        </w:rPr>
        <w:t>. Notwithstanding anything to the contrary in this Indenture or the Notes, if:</w:t>
      </w:r>
    </w:p>
    <w:p>
      <w:pPr>
        <w:spacing w:after="0" w:line="22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Combination Settlement;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28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18"/>
          <w:szCs w:val="18"/>
          <w:b w:val="1"/>
          <w:bCs w:val="1"/>
          <w:color w:val="auto"/>
        </w:rPr>
        <w:t xml:space="preserve">Section 5.05(A) </w:t>
      </w:r>
      <w:r>
        <w:rPr>
          <w:rFonts w:ascii="Times New Roman" w:cs="Times New Roman" w:eastAsia="Times New Roman" w:hAnsi="Times New Roman"/>
          <w:sz w:val="18"/>
          <w:szCs w:val="18"/>
          <w:color w:val="auto"/>
        </w:rPr>
        <w:t>has occurred on or before any VWAP Trading Day in the Observation Period for such conversion, but an adjustment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Rate for such event has not yet become effective as of such VWAP Trading Day;</w:t>
      </w:r>
    </w:p>
    <w:p>
      <w:pPr>
        <w:spacing w:after="0" w:line="346"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69" w:name="page70"/>
    <w:bookmarkEnd w:id="69"/>
    <w:p>
      <w:pPr>
        <w:ind w:left="2020" w:hanging="716"/>
        <w:spacing w:after="0"/>
        <w:tabs>
          <w:tab w:leader="none" w:pos="2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in respect of such VWAP Trading Day includes any whole or fractional shares of Common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and</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entitled to participate in such event (because they were not held on the related Record Date or otherwise),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solely for purposes of such conversion, the Company will, without duplication, give effect to such adjustment on such VWAP Trading Day.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78" w:lineRule="exact"/>
        <w:rPr>
          <w:sz w:val="20"/>
          <w:szCs w:val="20"/>
          <w:color w:val="auto"/>
        </w:rPr>
      </w:pPr>
    </w:p>
    <w:p>
      <w:pPr>
        <w:ind w:firstLine="656"/>
        <w:spacing w:after="0" w:line="284" w:lineRule="auto"/>
        <w:tabs>
          <w:tab w:leader="none" w:pos="13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Rate Adjustments where Converting Holders Participate in the Relevant Transaction or Event</w:t>
      </w:r>
      <w:r>
        <w:rPr>
          <w:rFonts w:ascii="Times New Roman" w:cs="Times New Roman" w:eastAsia="Times New Roman" w:hAnsi="Times New Roman"/>
          <w:sz w:val="18"/>
          <w:szCs w:val="18"/>
          <w:color w:val="auto"/>
        </w:rPr>
        <w:t>. Notwithstanding anything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contrary in this Indenture or the Notes, if:</w:t>
      </w:r>
    </w:p>
    <w:p>
      <w:pPr>
        <w:spacing w:after="0" w:line="15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Conversion Rate adjustment for any dividend or distribution becomes effective on any Ex-Dividend Date pursuant to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Combination Settlement;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5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VWAP Trading Day in the Observation Period for such conversion occurs on or after such Ex-Dividend Date and on or before the related Record Date;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1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in respect of such VWAP Trading Day includes any whole or fractional shares of Common Stock based on a Conversion Rate that is adjusted for such dividend or distribution; and</w:t>
      </w:r>
    </w:p>
    <w:p>
      <w:pPr>
        <w:spacing w:after="0" w:line="15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5.02(C)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74" w:lineRule="exact"/>
        <w:rPr>
          <w:sz w:val="20"/>
          <w:szCs w:val="20"/>
          <w:color w:val="auto"/>
        </w:rPr>
      </w:pPr>
    </w:p>
    <w:p>
      <w:pPr>
        <w:jc w:val="both"/>
        <w:ind w:firstLine="656"/>
        <w:spacing w:after="0" w:line="256" w:lineRule="auto"/>
        <w:tabs>
          <w:tab w:leader="none" w:pos="143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If any shares of Common Stock are to be issued upon conversion of any Note and, at the time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on account of such separation as if, at the time of such separation, the Company had made a distribution of the type referred to in such Section to all holders of the Common Stock, subject to potential readjustment in accordance with the last paragraph of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5.05(A)(iii)(1)</w:t>
      </w:r>
      <w:r>
        <w:rPr>
          <w:rFonts w:ascii="Times New Roman" w:cs="Times New Roman" w:eastAsia="Times New Roman" w:hAnsi="Times New Roman"/>
          <w:sz w:val="18"/>
          <w:szCs w:val="18"/>
          <w:color w:val="auto"/>
        </w:rPr>
        <w:t>.</w:t>
      </w:r>
    </w:p>
    <w:p>
      <w:pPr>
        <w:spacing w:after="0" w:line="35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56"/>
        <w:spacing w:after="0" w:line="267" w:lineRule="auto"/>
        <w:tabs>
          <w:tab w:leader="none" w:pos="13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Effecting Transactions Resulting in Certain Adjustments</w:t>
      </w:r>
      <w:r>
        <w:rPr>
          <w:rFonts w:ascii="Times New Roman" w:cs="Times New Roman" w:eastAsia="Times New Roman" w:hAnsi="Times New Roman"/>
          <w:sz w:val="18"/>
          <w:szCs w:val="18"/>
          <w:color w:val="auto"/>
        </w:rPr>
        <w:t>. The Company will not engage in or be a party to any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event that would require the Conversion Rate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an amount that would result in the Conversion Price per share of Common Stock being less than the par value per share of Common Stock.</w:t>
      </w:r>
    </w:p>
    <w:p>
      <w:pPr>
        <w:spacing w:after="0" w:line="173" w:lineRule="exact"/>
        <w:rPr>
          <w:rFonts w:ascii="Times New Roman" w:cs="Times New Roman" w:eastAsia="Times New Roman" w:hAnsi="Times New Roman"/>
          <w:sz w:val="18"/>
          <w:szCs w:val="18"/>
          <w:color w:val="auto"/>
        </w:rPr>
      </w:pPr>
    </w:p>
    <w:p>
      <w:pPr>
        <w:jc w:val="both"/>
        <w:ind w:firstLine="656"/>
        <w:spacing w:after="0" w:line="256" w:lineRule="auto"/>
        <w:tabs>
          <w:tab w:leader="none" w:pos="14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Equitable Adjustments to Prices</w:t>
      </w:r>
      <w:r>
        <w:rPr>
          <w:rFonts w:ascii="Times New Roman" w:cs="Times New Roman" w:eastAsia="Times New Roman" w:hAnsi="Times New Roman"/>
          <w:sz w:val="18"/>
          <w:szCs w:val="18"/>
          <w:color w:val="auto"/>
        </w:rPr>
        <w:t>. Whenever any provision of this Indenture requires the Company to calculate the Last Reported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the Daily VWAPs, the Daily Conversion Values, the Daily Cash Amounts or the Daily Share Amounts over a span of multiple days (including, without limitation, over an Observation Period and the period, if any, for determining the Stock Price for purposes of a Make-Whole Fundamental Change), the Company will, acting in good faith and in a commercially reasonable manner, make appropriate adjustments to such calculations to account for any adjustment to the Conversion Rate that becomes effective, or any event requiring an adjustment to the Conversion Rate where the Ex-Dividend Date, effective date or Expiration Date, as applicable, of such event occurs, at any time during the period when the Last Reported Sale Prices, the Daily VWAPs, the Daily Conversion Values, the Daily Cash Amounts or the Daily Share Amounts are to be calculated.</w:t>
      </w:r>
    </w:p>
    <w:p>
      <w:pPr>
        <w:spacing w:after="0" w:line="18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6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Number of Outstanding Shares of Common Stock</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number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78" w:lineRule="exact"/>
        <w:rPr>
          <w:rFonts w:ascii="Times New Roman" w:cs="Times New Roman" w:eastAsia="Times New Roman" w:hAnsi="Times New Roman"/>
          <w:sz w:val="18"/>
          <w:szCs w:val="18"/>
          <w:color w:val="auto"/>
        </w:rPr>
      </w:pPr>
    </w:p>
    <w:p>
      <w:pPr>
        <w:ind w:firstLine="656"/>
        <w:spacing w:after="0" w:line="284" w:lineRule="auto"/>
        <w:tabs>
          <w:tab w:leader="none" w:pos="130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 All calculations with respect to the Conversion Rate and adjustments thereto will be made to the nearest 1/10,000th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Common Stock (with 5/100,000ths rounded upward).</w:t>
      </w:r>
    </w:p>
    <w:p>
      <w:pPr>
        <w:spacing w:after="0" w:line="156" w:lineRule="exact"/>
        <w:rPr>
          <w:rFonts w:ascii="Times New Roman" w:cs="Times New Roman" w:eastAsia="Times New Roman" w:hAnsi="Times New Roman"/>
          <w:sz w:val="18"/>
          <w:szCs w:val="18"/>
          <w:color w:val="auto"/>
        </w:rPr>
      </w:pPr>
    </w:p>
    <w:p>
      <w:pPr>
        <w:jc w:val="both"/>
        <w:ind w:firstLine="656"/>
        <w:spacing w:after="0" w:line="262" w:lineRule="auto"/>
        <w:tabs>
          <w:tab w:leader="none" w:pos="121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Conversion Rate Adjustments</w:t>
      </w:r>
      <w:r>
        <w:rPr>
          <w:rFonts w:ascii="Times New Roman" w:cs="Times New Roman" w:eastAsia="Times New Roman" w:hAnsi="Times New Roman"/>
          <w:sz w:val="18"/>
          <w:szCs w:val="18"/>
          <w:color w:val="auto"/>
        </w:rPr>
        <w:t>. Upon the effectiveness of any adjustment to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5.06.</w:t>
        <w:tab/>
        <w:t>V</w:t>
      </w:r>
      <w:r>
        <w:rPr>
          <w:rFonts w:ascii="Times New Roman" w:cs="Times New Roman" w:eastAsia="Times New Roman" w:hAnsi="Times New Roman"/>
          <w:sz w:val="12"/>
          <w:szCs w:val="12"/>
          <w:b w:val="1"/>
          <w:bCs w:val="1"/>
          <w:color w:val="auto"/>
        </w:rPr>
        <w:t>oluntary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2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the extent permitted by law and applicable stock exchange rules, the Company, from time to time, may (but is not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81" w:lineRule="exact"/>
        <w:rPr>
          <w:rFonts w:ascii="Times New Roman" w:cs="Times New Roman" w:eastAsia="Times New Roman" w:hAnsi="Times New Roman"/>
          <w:sz w:val="18"/>
          <w:szCs w:val="18"/>
          <w:color w:val="auto"/>
        </w:rPr>
      </w:pPr>
    </w:p>
    <w:p>
      <w:pPr>
        <w:jc w:val="both"/>
        <w:ind w:firstLine="656"/>
        <w:spacing w:after="0" w:line="268" w:lineRule="auto"/>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Voluntary Increases</w:t>
      </w:r>
      <w:r>
        <w:rPr>
          <w:rFonts w:ascii="Times New Roman" w:cs="Times New Roman" w:eastAsia="Times New Roman" w:hAnsi="Times New Roman"/>
          <w:sz w:val="18"/>
          <w:szCs w:val="18"/>
          <w:color w:val="auto"/>
        </w:rPr>
        <w:t>. If the Board of Directors determines to increase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fifteen (15) Business Days before such increase, the Company will send notice to each Holder, the Trustee and the Conversion Agent of such increase, the amount thereof and the period during which such increase will be in effect.</w:t>
      </w:r>
    </w:p>
    <w:p>
      <w:pPr>
        <w:spacing w:after="0" w:line="34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5.07.</w:t>
        <w:tab/>
        <w:t>A</w:t>
      </w:r>
      <w:r>
        <w:rPr>
          <w:rFonts w:ascii="Times New Roman" w:cs="Times New Roman" w:eastAsia="Times New Roman" w:hAnsi="Times New Roman"/>
          <w:sz w:val="12"/>
          <w:szCs w:val="12"/>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onnection with 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ake</w:t>
      </w: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hole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23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a Make-Whole Fundamental Change occurs and the Conversion Date for the conversion of a Note occurs during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Make-Whole Fundamental Change Conversion Period, then, subject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the Conversion Rate applicable to such conversion will be increased by a number of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120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Make-Whole</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Fundamental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b w:val="1"/>
                <w:bCs w:val="1"/>
                <w:u w:val="single" w:color="auto"/>
                <w:color w:val="auto"/>
              </w:rPr>
              <w:t>872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u w:val="single" w:color="auto"/>
                <w:color w:val="auto"/>
              </w:rPr>
              <w:t>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b w:val="1"/>
                <w:bCs w:val="1"/>
                <w:u w:val="single" w:color="auto"/>
                <w:color w:val="auto"/>
              </w:rPr>
              <w:t>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u w:val="single" w:color="auto"/>
                <w:color w:val="auto"/>
              </w:rPr>
              <w:t>00</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11.00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18.</w:t>
            </w:r>
            <w:r>
              <w:rPr>
                <w:rFonts w:ascii="Times New Roman" w:cs="Times New Roman" w:eastAsia="Times New Roman" w:hAnsi="Times New Roman"/>
                <w:sz w:val="18"/>
                <w:szCs w:val="18"/>
                <w:b w:val="1"/>
                <w:bCs w:val="1"/>
                <w:u w:val="single" w:color="auto"/>
                <w:color w:val="auto"/>
              </w:rPr>
              <w:t>00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25.00</w:t>
            </w:r>
          </w:p>
        </w:tc>
      </w:tr>
      <w:tr>
        <w:trPr>
          <w:trHeight w:val="27"/>
        </w:trPr>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16, 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452.3445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261.1680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181.6450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153.9029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122.9608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72.4433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36.0140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16.9300</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8.7582</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1.6111</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15, 2026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452.3445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245.1440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163.5512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136.3886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107.1667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62.1300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31.1040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14.8400</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7.7764</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1.4456</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15, 2027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452.3445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223.1600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139.5897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113.6571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49.4567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24.9820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12.0888</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6.4073</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1.1789</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15, 2028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452.3445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192.8080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110.7862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34.8900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17.8740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8.7888</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4.7282</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0.8667</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May 15, 2029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452.3445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169.4560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75.5415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18.3600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4.8050</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2.6318</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0.4828</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15, 2030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452.3445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162.8960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0.0000</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0.0000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such Make-Whole Fundamental Change Effective Date or Stock Price is not set forth in the table above, then:</w:t>
      </w:r>
    </w:p>
    <w:p>
      <w:pPr>
        <w:spacing w:after="0" w:line="225" w:lineRule="exact"/>
        <w:rPr>
          <w:sz w:val="20"/>
          <w:szCs w:val="20"/>
          <w:color w:val="auto"/>
        </w:rPr>
      </w:pPr>
    </w:p>
    <w:p>
      <w:pPr>
        <w:jc w:val="both"/>
        <w:ind w:left="660" w:firstLine="644"/>
        <w:spacing w:after="0" w:line="261" w:lineRule="auto"/>
        <w:tabs>
          <w:tab w:leader="none" w:pos="20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Price is greater than $25.00 (subject to adjustment in the same manner as the Stock Prices set forth in the column headings of the table above are adjusted pursuant to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or less than $0.872 (subject to adjustment in the same manner), per share, then no Additional Shares will be added to the Conversion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in no event will the Conversion Rate be increased to an amount that exceeds 1,089.4495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but subject to </w:t>
      </w:r>
      <w:r>
        <w:rPr>
          <w:rFonts w:ascii="Times New Roman" w:cs="Times New Roman" w:eastAsia="Times New Roman" w:hAnsi="Times New Roman"/>
          <w:sz w:val="18"/>
          <w:szCs w:val="18"/>
          <w:b w:val="1"/>
          <w:bCs w:val="1"/>
          <w:color w:val="auto"/>
        </w:rPr>
        <w:t>Section 4.04(J)</w:t>
      </w:r>
      <w:r>
        <w:rPr>
          <w:rFonts w:ascii="Times New Roman" w:cs="Times New Roman" w:eastAsia="Times New Roman" w:hAnsi="Times New Roman"/>
          <w:sz w:val="18"/>
          <w:szCs w:val="18"/>
          <w:color w:val="auto"/>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on account of such Redemption Notice.</w:t>
      </w:r>
    </w:p>
    <w:p>
      <w:pPr>
        <w:spacing w:after="0" w:line="178" w:lineRule="exact"/>
        <w:rPr>
          <w:sz w:val="20"/>
          <w:szCs w:val="20"/>
          <w:color w:val="auto"/>
        </w:rPr>
      </w:pPr>
    </w:p>
    <w:p>
      <w:pPr>
        <w:jc w:val="both"/>
        <w:ind w:firstLine="656"/>
        <w:spacing w:after="0" w:line="261" w:lineRule="auto"/>
        <w:tabs>
          <w:tab w:leader="none" w:pos="125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Stock Prices and Number of Additional Shares</w:t>
      </w:r>
      <w:r>
        <w:rPr>
          <w:rFonts w:ascii="Times New Roman" w:cs="Times New Roman" w:eastAsia="Times New Roman" w:hAnsi="Times New Roman"/>
          <w:sz w:val="18"/>
          <w:szCs w:val="18"/>
          <w:color w:val="auto"/>
        </w:rPr>
        <w:t>. The Stock Prices in the first row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column headers) of the table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The numbers of Additional Shares in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2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the Occurrence of a Make-Whole Fundamental Change</w:t>
      </w:r>
      <w:r>
        <w:rPr>
          <w:rFonts w:ascii="Times New Roman" w:cs="Times New Roman" w:eastAsia="Times New Roman" w:hAnsi="Times New Roman"/>
          <w:sz w:val="18"/>
          <w:szCs w:val="18"/>
          <w:color w:val="auto"/>
        </w:rPr>
        <w:t>. The Company will notify the Holders, the Trustee and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of each Make-Whole Fundamental Change (i) occurring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in accordance with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(ii) occurring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in accordance with </w:t>
      </w:r>
      <w:r>
        <w:rPr>
          <w:rFonts w:ascii="Times New Roman" w:cs="Times New Roman" w:eastAsia="Times New Roman" w:hAnsi="Times New Roman"/>
          <w:sz w:val="18"/>
          <w:szCs w:val="18"/>
          <w:b w:val="1"/>
          <w:bCs w:val="1"/>
          <w:color w:val="auto"/>
        </w:rPr>
        <w:t>Section 4.04(G)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5.08.</w:t>
        <w:tab/>
        <w:t>E</w:t>
      </w:r>
      <w:r>
        <w:rPr>
          <w:rFonts w:ascii="Times New Roman" w:cs="Times New Roman" w:eastAsia="Times New Roman" w:hAnsi="Times New Roman"/>
          <w:sz w:val="12"/>
          <w:szCs w:val="12"/>
          <w:b w:val="1"/>
          <w:bCs w:val="1"/>
          <w:color w:val="auto"/>
        </w:rPr>
        <w:t>xchange in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ieu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and subject to the terms of this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80" w:lineRule="exact"/>
        <w:rPr>
          <w:sz w:val="20"/>
          <w:szCs w:val="20"/>
          <w:color w:val="auto"/>
        </w:rPr>
      </w:pPr>
    </w:p>
    <w:p>
      <w:pPr>
        <w:jc w:val="both"/>
        <w:ind w:firstLine="656"/>
        <w:spacing w:after="0" w:line="261" w:lineRule="auto"/>
        <w:tabs>
          <w:tab w:leader="none" w:pos="121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350"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will not cease to be outstanding by reason of such exchange in lieu of conversion;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financial institution does not accept such Note or fails to timely deliver such Conversion Consideration, then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be responsible for delivering such Conversion Consideration in the manner and at the time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as if the Company had not elected to make an exchange in lieu of conversion.</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5.09.</w:t>
        <w:tab/>
        <w:t>E</w:t>
      </w:r>
      <w:r>
        <w:rPr>
          <w:rFonts w:ascii="Times New Roman" w:cs="Times New Roman" w:eastAsia="Times New Roman" w:hAnsi="Times New Roman"/>
          <w:sz w:val="12"/>
          <w:szCs w:val="12"/>
          <w:b w:val="1"/>
          <w:bCs w:val="1"/>
          <w:color w:val="auto"/>
        </w:rPr>
        <w:t>ffect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0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cash or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Indenture or the Notes,</w:t>
      </w:r>
    </w:p>
    <w:p>
      <w:pPr>
        <w:spacing w:after="0" w:line="183" w:lineRule="exact"/>
        <w:rPr>
          <w:sz w:val="20"/>
          <w:szCs w:val="20"/>
          <w:color w:val="auto"/>
        </w:rPr>
      </w:pPr>
    </w:p>
    <w:p>
      <w:pPr>
        <w:jc w:val="both"/>
        <w:ind w:left="660" w:firstLine="644"/>
        <w:spacing w:after="0" w:line="254" w:lineRule="auto"/>
        <w:tabs>
          <w:tab w:leader="none" w:pos="198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(III) for purposes of the definition of “Record Date,” the term “Common Stock” will be deemed to refer to any class of securities forming part of such Reference Property; and (IV)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spacing w:after="0" w:line="359"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left="660" w:firstLine="644"/>
        <w:spacing w:after="0" w:line="230" w:lineRule="auto"/>
        <w:tabs>
          <w:tab w:leader="none" w:pos="210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if applicable); and (y) the amount of cash constituting such Reference Property Unit; and (II) the Company will settle each such conversion no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the relevant Conversion Date; and</w:t>
      </w:r>
    </w:p>
    <w:p>
      <w:pPr>
        <w:spacing w:after="0" w:line="200"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0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purposes, (I) the Daily VWAP of any Reference Property Unit or portion thereof that consists of a class of Common Equity securities listed on a national securities exchange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listed on a national securities exchange,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to the Trustee a supplemental indenture pursuant to </w:t>
      </w:r>
      <w:r>
        <w:rPr>
          <w:rFonts w:ascii="Times New Roman" w:cs="Times New Roman" w:eastAsia="Times New Roman" w:hAnsi="Times New Roman"/>
          <w:sz w:val="18"/>
          <w:szCs w:val="18"/>
          <w:b w:val="1"/>
          <w:bCs w:val="1"/>
          <w:color w:val="auto"/>
        </w:rPr>
        <w:t>Section 8.01(F)</w:t>
      </w:r>
      <w:r>
        <w:rPr>
          <w:rFonts w:ascii="Times New Roman" w:cs="Times New Roman" w:eastAsia="Times New Roman" w:hAnsi="Times New Roman"/>
          <w:sz w:val="18"/>
          <w:szCs w:val="18"/>
          <w:color w:val="auto"/>
        </w:rPr>
        <w:t>, which supplemental indenture will (x) provide for subsequent conversions of Notes in the manner set forth in this</w:t>
      </w:r>
      <w:r>
        <w:rPr>
          <w:rFonts w:ascii="Times New Roman" w:cs="Times New Roman" w:eastAsia="Times New Roman" w:hAnsi="Times New Roman"/>
          <w:sz w:val="18"/>
          <w:szCs w:val="18"/>
          <w:b w:val="1"/>
          <w:bCs w:val="1"/>
          <w:color w:val="auto"/>
        </w:rPr>
        <w:t xml:space="preserve"> Section 5.09</w:t>
      </w:r>
      <w:r>
        <w:rPr>
          <w:rFonts w:ascii="Times New Roman" w:cs="Times New Roman" w:eastAsia="Times New Roman" w:hAnsi="Times New Roman"/>
          <w:sz w:val="18"/>
          <w:szCs w:val="18"/>
          <w:color w:val="auto"/>
        </w:rPr>
        <w:t>; (y)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for subsequent adjustments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in a manner consistent with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and (z) contain such other provisions, if any, that the Company determines in good faith and in a commercially reasonable manner are appropriate to preserve the economic interests of the Holders and to give effect to the provisions of this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86" w:lineRule="exact"/>
        <w:rPr>
          <w:sz w:val="20"/>
          <w:szCs w:val="20"/>
          <w:color w:val="auto"/>
        </w:rPr>
      </w:pPr>
    </w:p>
    <w:p>
      <w:pPr>
        <w:ind w:firstLine="656"/>
        <w:spacing w:after="0" w:line="284" w:lineRule="auto"/>
        <w:tabs>
          <w:tab w:leader="none" w:pos="12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Common Stock Change Events</w:t>
      </w:r>
      <w:r>
        <w:rPr>
          <w:rFonts w:ascii="Times New Roman" w:cs="Times New Roman" w:eastAsia="Times New Roman" w:hAnsi="Times New Roman"/>
          <w:sz w:val="18"/>
          <w:szCs w:val="18"/>
          <w:color w:val="auto"/>
        </w:rPr>
        <w:t>. The Company will provide notice of each Common Stock Change Event in the manner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w:t>
      </w:r>
    </w:p>
    <w:p>
      <w:pPr>
        <w:spacing w:after="0" w:line="33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1280" w:hanging="624"/>
        <w:spacing w:after="0"/>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 terms are consistent with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SUCCESSORS</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6.01.</w:t>
        <w:tab/>
        <w:t>W</w:t>
      </w:r>
      <w:r>
        <w:rPr>
          <w:rFonts w:ascii="Times New Roman" w:cs="Times New Roman" w:eastAsia="Times New Roman" w:hAnsi="Times New Roman"/>
          <w:sz w:val="12"/>
          <w:szCs w:val="12"/>
          <w:b w:val="1"/>
          <w:bCs w:val="1"/>
          <w:color w:val="auto"/>
        </w:rPr>
        <w:t>hen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5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not consolidate with or merge with or into, or (directly, or indirectly through one or more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sell, lease or otherwise transfer, in one transaction or a series of transactions, all or substantially all of the consolidated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82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the Company’s obligations under this Indenture and the Notes; and</w:t>
      </w:r>
    </w:p>
    <w:p>
      <w:pPr>
        <w:spacing w:after="0" w:line="180"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will have occurred and be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Officer’s Certificate and Opinion of Counsel to the Trustee</w:t>
      </w:r>
      <w:r>
        <w:rPr>
          <w:rFonts w:ascii="Times New Roman" w:cs="Times New Roman" w:eastAsia="Times New Roman" w:hAnsi="Times New Roman"/>
          <w:sz w:val="18"/>
          <w:szCs w:val="18"/>
          <w:color w:val="auto"/>
        </w:rPr>
        <w:t>. Before the effective time of any Business Combination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and (ii) all conditions precedent to such Business Combination Event provided in this Indenture have been satisfied.</w:t>
      </w:r>
    </w:p>
    <w:p>
      <w:pPr>
        <w:spacing w:after="0" w:line="17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6.02.</w:t>
        <w:tab/>
        <w:t>S</w:t>
      </w:r>
      <w:r>
        <w:rPr>
          <w:rFonts w:ascii="Times New Roman" w:cs="Times New Roman" w:eastAsia="Times New Roman" w:hAnsi="Times New Roman"/>
          <w:sz w:val="12"/>
          <w:szCs w:val="12"/>
          <w:b w:val="1"/>
          <w:bCs w:val="1"/>
          <w:color w:val="auto"/>
        </w:rPr>
        <w:t>uccessor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ubstituted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At the effective time of any Business Combination Event that complies with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the Successor Corporation (if not the Company) will succeed to, and may exercise every right and power of, the Company under this Indenture and the Notes with the same effect as if such Successor Corporation had been named as the Company in this Indenture and the Notes, and, except in the case of a lease, the predecessor Company will be discharged from its obligations under this Indenture and the Notes.</w:t>
      </w:r>
    </w:p>
    <w:p>
      <w:pPr>
        <w:spacing w:after="0" w:line="17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6.03.</w:t>
        <w:tab/>
        <w:t>E</w:t>
      </w:r>
      <w:r>
        <w:rPr>
          <w:rFonts w:ascii="Times New Roman" w:cs="Times New Roman" w:eastAsia="Times New Roman" w:hAnsi="Times New Roman"/>
          <w:sz w:val="12"/>
          <w:szCs w:val="12"/>
          <w:b w:val="1"/>
          <w:bCs w:val="1"/>
          <w:color w:val="auto"/>
        </w:rPr>
        <w:t>xclusion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sset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will not apply to (i) any transfer of assets between or among the Company and any one or more of its Wholly Owned Subsidiaries not effected by merger or consolidation, (ii) sales or other transfers of residential real property and/or mortgage loans in the ordinary course of the Company’s business or (iii) transfers to the Company’s Subsidiaries in connection with bona fide financing transactions and equity transfers of the equity of the Company’s Subsidiaries in connection with establishing bona fide financing vehicles.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ind w:left="3880"/>
        <w:spacing w:after="0"/>
        <w:tabs>
          <w:tab w:leader="none" w:pos="498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7"/>
          <w:szCs w:val="17"/>
          <w:b w:val="1"/>
          <w:bCs w:val="1"/>
          <w:color w:val="auto"/>
        </w:rPr>
        <w:t>DEFAULTS AND REMEDIES</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7.01.</w:t>
        <w:tab/>
        <w:t>E</w:t>
      </w:r>
      <w:r>
        <w:rPr>
          <w:rFonts w:ascii="Times New Roman" w:cs="Times New Roman" w:eastAsia="Times New Roman" w:hAnsi="Times New Roman"/>
          <w:sz w:val="12"/>
          <w:szCs w:val="12"/>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20" w:hanging="664"/>
        <w:spacing w:after="0"/>
        <w:tabs>
          <w:tab w:leader="none" w:pos="1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(whether at maturity, upon Redemption or upon Repurchase Upon Fundamental Change or Optional Repurchase, otherwise) of the principal of, or the Redemption Price or Fundamental Change Repurchase Price or Optional Repurchase Price for, any Note;</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thirty (30) consecutive days in the payment when due of interest on any Note;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failure to deliver, when required by this Indenture, a Fundamental Change Notice, an Optional Repurchase Date Notice or a notice pursuant to </w:t>
      </w:r>
      <w:r>
        <w:rPr>
          <w:rFonts w:ascii="Times New Roman" w:cs="Times New Roman" w:eastAsia="Times New Roman" w:hAnsi="Times New Roman"/>
          <w:sz w:val="18"/>
          <w:szCs w:val="18"/>
          <w:b w:val="1"/>
          <w:bCs w:val="1"/>
          <w:color w:val="auto"/>
        </w:rPr>
        <w:t>Section 5.01(C)(i)(3)</w:t>
      </w:r>
      <w:r>
        <w:rPr>
          <w:rFonts w:ascii="Times New Roman" w:cs="Times New Roman" w:eastAsia="Times New Roman" w:hAnsi="Times New Roman"/>
          <w:sz w:val="18"/>
          <w:szCs w:val="18"/>
          <w:color w:val="auto"/>
        </w:rPr>
        <w:t xml:space="preserve">, if (in the case of any notice other than a notice pursuant to </w:t>
      </w:r>
      <w:r>
        <w:rPr>
          <w:rFonts w:ascii="Times New Roman" w:cs="Times New Roman" w:eastAsia="Times New Roman" w:hAnsi="Times New Roman"/>
          <w:sz w:val="18"/>
          <w:szCs w:val="18"/>
          <w:b w:val="1"/>
          <w:bCs w:val="1"/>
          <w:color w:val="auto"/>
        </w:rPr>
        <w:t>Section 5.01(C)(i)(3)(a)</w:t>
      </w:r>
      <w:r>
        <w:rPr>
          <w:rFonts w:ascii="Times New Roman" w:cs="Times New Roman" w:eastAsia="Times New Roman" w:hAnsi="Times New Roman"/>
          <w:sz w:val="18"/>
          <w:szCs w:val="18"/>
          <w:color w:val="auto"/>
        </w:rPr>
        <w:t>) such failure is not cured within five (5) days after its occurrence;</w:t>
      </w:r>
    </w:p>
    <w:p>
      <w:pPr>
        <w:spacing w:after="0" w:line="171" w:lineRule="exact"/>
        <w:rPr>
          <w:rFonts w:ascii="Times New Roman" w:cs="Times New Roman" w:eastAsia="Times New Roman" w:hAnsi="Times New Roman"/>
          <w:sz w:val="18"/>
          <w:szCs w:val="18"/>
          <w:color w:val="auto"/>
        </w:rPr>
      </w:pPr>
    </w:p>
    <w:p>
      <w:pPr>
        <w:ind w:left="660" w:firstLine="644"/>
        <w:spacing w:after="0" w:line="286" w:lineRule="auto"/>
        <w:tabs>
          <w:tab w:leader="none" w:pos="198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convert a Note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the exercise of the conversion right with respect thereto, if such default is not cured within three (3) Business Days after its occurrence;</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obligations under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Indenture or the Notes (other than a default set forth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(v)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7.01(A)</w:t>
      </w:r>
      <w:r>
        <w:rPr>
          <w:rFonts w:ascii="Times New Roman" w:cs="Times New Roman" w:eastAsia="Times New Roman" w:hAnsi="Times New Roman"/>
          <w:sz w:val="18"/>
          <w:szCs w:val="18"/>
          <w:color w:val="auto"/>
        </w:rPr>
        <w:t>) where such default is not cured or waived within sixty (60) days after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8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the Company or any of the Company’s Subsidiaries with respect to any one or more mortgages, agreements or other instruments under which there is outstanding, or by which there is secured or evidenced, any indebtedness for money borrowed (other than (i) any non-recourse indebtedness for borrowed money (it being understood and agreed that limited recourse provisions in respect of the applicable financing assets, transaction structure or that otherwise are customary in transactions in which the primary recourse is to financing assets shall not cause indebtedness that is otherwise non-recourse indebtedness to constitute recourse indebtedness) or (ii) indebtedness of the Company’s Subsidiaries if such Subsidiaries are special purpose entities that serve as a vehicle to obtain financing that is otherwise non-recourse to the Company and its other non-special purpose entity Subsidiaries (it being understood and agreed that limited recourse provisions in respect of the applicable financing assets, transaction structure or that otherwise are customary in transactions in which the primary recourse is to financing assets shall not cause indebtedness that is otherwise non-recourse indebtedness to constitute recourse indebtedness)) of at least $50,000,000 (or its foreign currency equivalent) in the aggregate of the Company or any of the Company’s Subsidiaries, whether such indebtedness exists as of the Issue Date or is thereafter created, where such default:</w:t>
      </w:r>
    </w:p>
    <w:p>
      <w:pPr>
        <w:spacing w:after="0" w:line="36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both"/>
        <w:ind w:left="640" w:firstLine="652"/>
        <w:spacing w:after="0" w:line="266" w:lineRule="auto"/>
        <w:tabs>
          <w:tab w:leader="none" w:pos="18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failure to pay the principal of or interest on such indebtedness when due and payable at its stated maturity, upon required repurchase, upon declaration of acceleration or otherwise, in each case after the expiration of any applicable grace period; or</w:t>
      </w:r>
    </w:p>
    <w:p>
      <w:pPr>
        <w:spacing w:after="0" w:line="17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such indebtedness becoming or being declared due and payable before its stated maturity,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62" w:lineRule="exact"/>
        <w:rPr>
          <w:sz w:val="20"/>
          <w:szCs w:val="20"/>
          <w:color w:val="auto"/>
        </w:rPr>
      </w:pPr>
    </w:p>
    <w:p>
      <w:pPr>
        <w:ind w:left="1280" w:hanging="636"/>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of its Significant Subsidiaries in an involuntary case or proceeding;</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92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396" w:lineRule="exact"/>
        <w:rPr>
          <w:rFonts w:ascii="Times New Roman" w:cs="Times New Roman" w:eastAsia="Times New Roman" w:hAnsi="Times New Roman"/>
          <w:sz w:val="18"/>
          <w:szCs w:val="18"/>
          <w:color w:val="auto"/>
        </w:rPr>
      </w:pPr>
    </w:p>
    <w:p>
      <w:pPr>
        <w:ind w:left="4900" w:hanging="92"/>
        <w:spacing w:after="0"/>
        <w:tabs>
          <w:tab w:leader="none" w:pos="4900" w:val="left"/>
        </w:tabs>
        <w:numPr>
          <w:ilvl w:val="2"/>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78" w:name="page79"/>
    <w:bookmarkEnd w:id="78"/>
    <w:p>
      <w:pPr>
        <w:ind w:left="2620" w:hanging="668"/>
        <w:spacing w:after="0"/>
        <w:tabs>
          <w:tab w:leader="none" w:pos="2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under any foreign Bankruptcy Law,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such order or decree remains unstayed and in effect for at least sixty (60) days.</w:t>
      </w:r>
    </w:p>
    <w:p>
      <w:pPr>
        <w:spacing w:after="0" w:line="225" w:lineRule="exact"/>
        <w:rPr>
          <w:sz w:val="20"/>
          <w:szCs w:val="20"/>
          <w:color w:val="auto"/>
        </w:rPr>
      </w:pPr>
    </w:p>
    <w:p>
      <w:pPr>
        <w:jc w:val="both"/>
        <w:ind w:firstLine="656"/>
        <w:spacing w:after="0" w:line="268" w:lineRule="auto"/>
        <w:tabs>
          <w:tab w:leader="none" w:pos="134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 Irrelevant</w:t>
      </w:r>
      <w:r>
        <w:rPr>
          <w:rFonts w:ascii="Times New Roman" w:cs="Times New Roman" w:eastAsia="Times New Roman" w:hAnsi="Times New Roman"/>
          <w:sz w:val="18"/>
          <w:szCs w:val="18"/>
          <w:color w:val="auto"/>
        </w:rPr>
        <w:t>. Each of the events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constitute an Event of Default regardless of the cause thereof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7.02.</w:t>
        <w:tab/>
        <w:t>A</w:t>
      </w:r>
      <w:r>
        <w:rPr>
          <w:rFonts w:ascii="Times New Roman" w:cs="Times New Roman" w:eastAsia="Times New Roman" w:hAnsi="Times New Roman"/>
          <w:sz w:val="12"/>
          <w:szCs w:val="12"/>
          <w:b w:val="1"/>
          <w:bCs w:val="1"/>
          <w:color w:val="auto"/>
        </w:rPr>
        <w:t>cceleration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8" w:lineRule="auto"/>
        <w:tabs>
          <w:tab w:leader="none" w:pos="13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7.01(A)(ix)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12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7.01(A)(ix) </w:t>
      </w:r>
      <w:r>
        <w:rPr>
          <w:rFonts w:ascii="Times New Roman" w:cs="Times New Roman" w:eastAsia="Times New Roman" w:hAnsi="Times New Roman"/>
          <w:sz w:val="18"/>
          <w:szCs w:val="18"/>
          <w:color w:val="auto"/>
        </w:rPr>
        <w:t>with respect to the Company and not solely with respect to a Significant Subsidiary of the Company) occurs and is continuing, then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8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Rescission of Acceleration</w:t>
      </w:r>
      <w:r>
        <w:rPr>
          <w:rFonts w:ascii="Times New Roman" w:cs="Times New Roman" w:eastAsia="Times New Roman" w:hAnsi="Times New Roman"/>
          <w:sz w:val="18"/>
          <w:szCs w:val="18"/>
          <w:color w:val="auto"/>
        </w:rPr>
        <w:t>. Notwithstanding anything to the contrary in this Indenture or the Notes, the Holders of a majority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7.03.</w:t>
        <w:tab/>
        <w:t>S</w:t>
      </w:r>
      <w:r>
        <w:rPr>
          <w:rFonts w:ascii="Times New Roman" w:cs="Times New Roman" w:eastAsia="Times New Roman" w:hAnsi="Times New Roman"/>
          <w:sz w:val="12"/>
          <w:szCs w:val="12"/>
          <w:b w:val="1"/>
          <w:bCs w:val="1"/>
          <w:color w:val="auto"/>
        </w:rPr>
        <w:t>ole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emedy for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ailure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19" w:lineRule="auto"/>
        <w:tabs>
          <w:tab w:leader="none" w:pos="12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Notwithstanding anything to the contrary in this Indenture or the Notes, the Company may elect that the sole remedy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arising from the Company’s failure to comply with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will, for each of the first one hundred and eighty (180)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color w:val="auto"/>
        </w:rPr>
        <w:t>on account of the relevant Reporting Event of Default from, and including, the one hundred and eighty first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calendar day on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Event of Default has occurred and is continuing or if the Company fails to pay any accrued and unpaid Special Interest when due; and (ii) Special Interest will cease to accrue on any Notes from, and including, such one hundred and eighty first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calendar day (it being understood that interest on any defaulted Special Interest will nonetheless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w:t>
      </w:r>
    </w:p>
    <w:p>
      <w:pPr>
        <w:spacing w:after="0" w:line="37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656"/>
        <w:spacing w:after="0" w:line="255" w:lineRule="auto"/>
        <w:tabs>
          <w:tab w:leader="none" w:pos="128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Special Interest</w:t>
      </w:r>
      <w:r>
        <w:rPr>
          <w:rFonts w:ascii="Times New Roman" w:cs="Times New Roman" w:eastAsia="Times New Roman" w:hAnsi="Times New Roman"/>
          <w:sz w:val="18"/>
          <w:szCs w:val="18"/>
          <w:color w:val="auto"/>
        </w:rPr>
        <w:t>. Any Special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payable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same dates and in the same manner as the Stated Interest on such Note and will accrue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will Special Interest payable at the Company’s election for its failure to comply with its reporting obligations as set forth in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xml:space="preserve">, together with any Additional Interest that may accrue as a result of the Company’s failure to timely file any document or report that it is required to file with the SEC pursuant to Section 13 or 15(d) of the Exchange Act, as applicable (other than reports on Form 8-K) pursuant to </w:t>
      </w:r>
      <w:r>
        <w:rPr>
          <w:rFonts w:ascii="Times New Roman" w:cs="Times New Roman" w:eastAsia="Times New Roman" w:hAnsi="Times New Roman"/>
          <w:sz w:val="18"/>
          <w:szCs w:val="18"/>
          <w:b w:val="1"/>
          <w:bCs w:val="1"/>
          <w:color w:val="auto"/>
        </w:rPr>
        <w:t>Section 3.04(A)</w:t>
      </w:r>
      <w:r>
        <w:rPr>
          <w:rFonts w:ascii="Times New Roman" w:cs="Times New Roman" w:eastAsia="Times New Roman" w:hAnsi="Times New Roman"/>
          <w:sz w:val="18"/>
          <w:szCs w:val="18"/>
          <w:color w:val="auto"/>
        </w:rPr>
        <w:t>, accrue on any day on a Note at a combined rate per annum that exceeds one percent (1.00%).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184" w:lineRule="exact"/>
        <w:rPr>
          <w:rFonts w:ascii="Times New Roman" w:cs="Times New Roman" w:eastAsia="Times New Roman" w:hAnsi="Times New Roman"/>
          <w:sz w:val="18"/>
          <w:szCs w:val="18"/>
          <w:color w:val="auto"/>
        </w:rPr>
      </w:pPr>
    </w:p>
    <w:p>
      <w:pPr>
        <w:jc w:val="both"/>
        <w:ind w:firstLine="656"/>
        <w:spacing w:after="0" w:line="259" w:lineRule="auto"/>
        <w:tabs>
          <w:tab w:leader="none" w:pos="134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Election</w:t>
      </w:r>
      <w:r>
        <w:rPr>
          <w:rFonts w:ascii="Times New Roman" w:cs="Times New Roman" w:eastAsia="Times New Roman" w:hAnsi="Times New Roman"/>
          <w:sz w:val="18"/>
          <w:szCs w:val="18"/>
          <w:color w:val="auto"/>
        </w:rPr>
        <w:t>. To make the election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the Company must send to the Holders and the Trustee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to Trustee and Paying Agent; Trustee’s Disclaimer</w:t>
      </w:r>
      <w:r>
        <w:rPr>
          <w:rFonts w:ascii="Times New Roman" w:cs="Times New Roman" w:eastAsia="Times New Roman" w:hAnsi="Times New Roman"/>
          <w:sz w:val="18"/>
          <w:szCs w:val="18"/>
          <w:color w:val="auto"/>
        </w:rPr>
        <w:t>. If Special Interest accrues on any Note, then, no later than five (5)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77" w:lineRule="exact"/>
        <w:rPr>
          <w:rFonts w:ascii="Times New Roman" w:cs="Times New Roman" w:eastAsia="Times New Roman" w:hAnsi="Times New Roman"/>
          <w:sz w:val="18"/>
          <w:szCs w:val="18"/>
          <w:color w:val="auto"/>
        </w:rPr>
      </w:pPr>
    </w:p>
    <w:p>
      <w:pPr>
        <w:ind w:firstLine="656"/>
        <w:spacing w:after="0" w:line="286" w:lineRule="auto"/>
        <w:tabs>
          <w:tab w:leader="none" w:pos="123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Other Events of Default</w:t>
      </w:r>
      <w:r>
        <w:rPr>
          <w:rFonts w:ascii="Times New Roman" w:cs="Times New Roman" w:eastAsia="Times New Roman" w:hAnsi="Times New Roman"/>
          <w:sz w:val="18"/>
          <w:szCs w:val="18"/>
          <w:color w:val="auto"/>
        </w:rPr>
        <w:t>. No election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Reporting Event of Default will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any Holder with respect to any other Event of Default, including with respect to any other Reporting Event of Default.</w:t>
      </w:r>
    </w:p>
    <w:p>
      <w:pPr>
        <w:spacing w:after="0" w:line="15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7.04.</w:t>
        <w:tab/>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firstLine="656"/>
        <w:spacing w:after="0" w:line="284" w:lineRule="auto"/>
        <w:tabs>
          <w:tab w:leader="none" w:pos="129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May Pursue All Remedies</w:t>
      </w:r>
      <w:r>
        <w:rPr>
          <w:rFonts w:ascii="Times New Roman" w:cs="Times New Roman" w:eastAsia="Times New Roman" w:hAnsi="Times New Roman"/>
          <w:sz w:val="18"/>
          <w:szCs w:val="18"/>
          <w:color w:val="auto"/>
        </w:rPr>
        <w:t>. If an Event of Default occurs and is continuing, then the Trustee may pursue any available remedy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the payment of any amounts due with respect to the Notes or to enforce the performance of any provision of this Indenture or the Notes.</w:t>
      </w:r>
    </w:p>
    <w:p>
      <w:pPr>
        <w:spacing w:after="0" w:line="33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both"/>
        <w:ind w:firstLine="656"/>
        <w:spacing w:after="0" w:line="267" w:lineRule="auto"/>
        <w:tabs>
          <w:tab w:leader="none" w:pos="126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Matters</w:t>
      </w:r>
      <w:r>
        <w:rPr>
          <w:rFonts w:ascii="Times New Roman" w:cs="Times New Roman" w:eastAsia="Times New Roman" w:hAnsi="Times New Roman"/>
          <w:sz w:val="18"/>
          <w:szCs w:val="18"/>
          <w:color w:val="auto"/>
        </w:rPr>
        <w:t>. The Trustee may maintain a proceeding even if it does not possess any of the Notes or does not produce any of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7.05.</w:t>
        <w:tab/>
        <w:t>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ast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b w:val="1"/>
          <w:bCs w:val="1"/>
          <w:color w:val="auto"/>
        </w:rPr>
        <w:t>clause (vi)</w:t>
      </w:r>
      <w:r>
        <w:rPr>
          <w:rFonts w:ascii="Times New Roman" w:cs="Times New Roman" w:eastAsia="Times New Roman" w:hAnsi="Times New Roman"/>
          <w:sz w:val="18"/>
          <w:szCs w:val="18"/>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8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7.06.</w:t>
        <w:tab/>
        <w:t>C</w:t>
      </w:r>
      <w:r>
        <w:rPr>
          <w:rFonts w:ascii="Times New Roman" w:cs="Times New Roman" w:eastAsia="Times New Roman" w:hAnsi="Times New Roman"/>
          <w:sz w:val="12"/>
          <w:szCs w:val="12"/>
          <w:b w:val="1"/>
          <w:bCs w:val="1"/>
          <w:color w:val="auto"/>
        </w:rPr>
        <w:t>ontrol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ajority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7.07.</w:t>
        <w:tab/>
        <w:t>L</w:t>
      </w:r>
      <w:r>
        <w:rPr>
          <w:rFonts w:ascii="Times New Roman" w:cs="Times New Roman" w:eastAsia="Times New Roman" w:hAnsi="Times New Roman"/>
          <w:sz w:val="12"/>
          <w:szCs w:val="12"/>
          <w:b w:val="1"/>
          <w:bCs w:val="1"/>
          <w:color w:val="auto"/>
        </w:rPr>
        <w:t>imitation 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Holder may pursue any remedy with respect to this Indenture or the Notes (except to enforce (x) its rights to receive the principal of, or the Redemption Price, Fundamental Change Repurchase Price or Optional Repurchase Price for, or interest on, any Notes; or (y) the Company’s obligations to convert any Notes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unless:</w:t>
      </w:r>
    </w:p>
    <w:p>
      <w:pPr>
        <w:spacing w:after="0" w:line="176" w:lineRule="exact"/>
        <w:rPr>
          <w:sz w:val="20"/>
          <w:szCs w:val="20"/>
          <w:color w:val="auto"/>
        </w:rPr>
      </w:pPr>
    </w:p>
    <w:p>
      <w:pPr>
        <w:ind w:left="1320" w:hanging="664"/>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delivered to the Trustee notice that an Event of Default is continuing;</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8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twenty five percent (25%) in aggregate principal amount of the Notes then outstanding deliver a written request to the Trustee to pursue such remedy;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sixty (60) calendar days after its receipt of such request and such offer of security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and</w:t>
      </w:r>
    </w:p>
    <w:p>
      <w:pPr>
        <w:spacing w:after="0" w:line="37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ind w:firstLine="656"/>
        <w:spacing w:after="0" w:line="282" w:lineRule="auto"/>
        <w:tabs>
          <w:tab w:leader="none" w:pos="136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or to obtain a preference or priority over another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duty to determine whether any Holder’s use of this Indenture complies with the preceding sentence.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7.08.  A</w:t>
      </w:r>
      <w:r>
        <w:rPr>
          <w:rFonts w:ascii="Times New Roman" w:cs="Times New Roman" w:eastAsia="Times New Roman" w:hAnsi="Times New Roman"/>
          <w:sz w:val="12"/>
          <w:szCs w:val="12"/>
          <w:b w:val="1"/>
          <w:bCs w:val="1"/>
          <w:color w:val="auto"/>
        </w:rPr>
        <w:t>bsolute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nstitute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 for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nforcement of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eceive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(but without limiting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the right of each Holder of a Note to bring suit for the enforcement of any payment or delivery, as applicable, of the principal of, or the Redemption Price, Fundamental Change Repurchase Price or Optional Repurchase Price for, or any interest on, or the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such Note on or after the respective due dates therefor provided in this Indenture and the Notes, will not be impaired or affected without the consent of such Holder.</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7.09.</w:t>
        <w:tab/>
        <w:t>C</w:t>
      </w:r>
      <w:r>
        <w:rPr>
          <w:rFonts w:ascii="Times New Roman" w:cs="Times New Roman" w:eastAsia="Times New Roman" w:hAnsi="Times New Roman"/>
          <w:sz w:val="12"/>
          <w:szCs w:val="12"/>
          <w:b w:val="1"/>
          <w:bCs w:val="1"/>
          <w:color w:val="auto"/>
        </w:rPr>
        <w:t>ollection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 by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Trustee will have the right, upon the occurrence and continuance of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to recover judgment in its own name and as trustee of an express trust against the Company for the total unpaid or undelivered principal of, or Redemption Price, Fundamental Change Repurchase Price or Optional Repurchase Price for, or interest on, or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7.10.</w:t>
        <w:tab/>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roofs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laim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7.11.</w:t>
        <w:tab/>
        <w:t>P</w:t>
      </w:r>
      <w:r>
        <w:rPr>
          <w:rFonts w:ascii="Times New Roman" w:cs="Times New Roman" w:eastAsia="Times New Roman" w:hAnsi="Times New Roman"/>
          <w:sz w:val="12"/>
          <w:szCs w:val="12"/>
          <w:b w:val="1"/>
          <w:bCs w:val="1"/>
          <w:color w:val="auto"/>
        </w:rPr>
        <w:t>riorities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Trustee will pay or deliver in the following order any money or other property that it collects pursuant to this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and its agents and attorneys for amounts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including payment of all fees,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liabilities incurred, and all advances made, by the Trustee (in each of its capacities under this Indenture including as Note Agent) and the costs and expenses of collection;</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for unpaid amounts or other property due on the Notes, including the principal of, or the Redemption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 Change Repurchase Price or Optional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Company or such other Person as a court of competent jurisdiction directs.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or delivery to the Holders pursuant to this </w:t>
      </w:r>
      <w:r>
        <w:rPr>
          <w:rFonts w:ascii="Times New Roman" w:cs="Times New Roman" w:eastAsia="Times New Roman" w:hAnsi="Times New Roman"/>
          <w:sz w:val="18"/>
          <w:szCs w:val="18"/>
          <w:b w:val="1"/>
          <w:bCs w:val="1"/>
          <w:color w:val="auto"/>
        </w:rPr>
        <w:t>Section 7.11</w:t>
      </w:r>
      <w:r>
        <w:rPr>
          <w:rFonts w:ascii="Times New Roman" w:cs="Times New Roman" w:eastAsia="Times New Roman" w:hAnsi="Times New Roman"/>
          <w:sz w:val="18"/>
          <w:szCs w:val="18"/>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7.12.</w:t>
        <w:tab/>
        <w:t>U</w:t>
      </w:r>
      <w:r>
        <w:rPr>
          <w:rFonts w:ascii="Times New Roman" w:cs="Times New Roman" w:eastAsia="Times New Roman" w:hAnsi="Times New Roman"/>
          <w:sz w:val="12"/>
          <w:szCs w:val="12"/>
          <w:b w:val="1"/>
          <w:bCs w:val="1"/>
          <w:color w:val="auto"/>
        </w:rPr>
        <w:t>ndertaking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xml:space="preserve"> does not apply to any suit by the Trustee, any suit by a Holder pursuant to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or any suit by one or more Holders of more than ten percent (10%) in aggregate principal amount of the Notes then outstanding.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ind w:left="3160"/>
        <w:spacing w:after="0"/>
        <w:tabs>
          <w:tab w:leader="none" w:pos="402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7"/>
          <w:szCs w:val="17"/>
          <w:b w:val="1"/>
          <w:bCs w:val="1"/>
          <w:color w:val="auto"/>
        </w:rPr>
        <w:t>AMENDMENTS, SUPPLEMENTS AND WAIVERS</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8.01.</w:t>
        <w:tab/>
        <w:t>W</w:t>
      </w:r>
      <w:r>
        <w:rPr>
          <w:rFonts w:ascii="Times New Roman" w:cs="Times New Roman" w:eastAsia="Times New Roman" w:hAnsi="Times New Roman"/>
          <w:sz w:val="12"/>
          <w:szCs w:val="12"/>
          <w:b w:val="1"/>
          <w:bCs w:val="1"/>
          <w:color w:val="auto"/>
        </w:rPr>
        <w:t>ithout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the Company and the Trustee may amend or supplement this Indenture or the Notes without the consent of any Holder to:</w:t>
      </w:r>
    </w:p>
    <w:p>
      <w:pPr>
        <w:spacing w:after="0" w:line="159" w:lineRule="exact"/>
        <w:rPr>
          <w:sz w:val="20"/>
          <w:szCs w:val="20"/>
          <w:color w:val="auto"/>
        </w:rPr>
      </w:pPr>
    </w:p>
    <w:p>
      <w:pPr>
        <w:ind w:left="1320" w:hanging="664"/>
        <w:spacing w:after="0"/>
        <w:tabs>
          <w:tab w:leader="none" w:pos="1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omission, defect or inconsistency in this Indenture or the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Company’s obligations under this Indenture or the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Company’s covenants or Events of Default for the benefit of the Holders or surrender any right or power conferred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2"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assumption of the Company’s obligations under this Indenture and the Notes pursuant to, and in compliance with, </w:t>
      </w:r>
      <w:r>
        <w:rPr>
          <w:rFonts w:ascii="Times New Roman" w:cs="Times New Roman" w:eastAsia="Times New Roman" w:hAnsi="Times New Roman"/>
          <w:sz w:val="18"/>
          <w:szCs w:val="18"/>
          <w:b w:val="1"/>
          <w:bCs w:val="1"/>
          <w:color w:val="auto"/>
        </w:rPr>
        <w:t>Article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supplemental indentures pursuant to, and in accordance with,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in connection with a Common Stock Change Event;</w:t>
      </w:r>
    </w:p>
    <w:p>
      <w:pPr>
        <w:spacing w:after="0" w:line="227" w:lineRule="exact"/>
        <w:rPr>
          <w:rFonts w:ascii="Times New Roman" w:cs="Times New Roman" w:eastAsia="Times New Roman" w:hAnsi="Times New Roman"/>
          <w:sz w:val="18"/>
          <w:szCs w:val="18"/>
          <w:color w:val="auto"/>
        </w:rPr>
      </w:pPr>
    </w:p>
    <w:p>
      <w:pPr>
        <w:jc w:val="both"/>
        <w:ind w:firstLine="656"/>
        <w:spacing w:after="0" w:line="261" w:lineRule="auto"/>
        <w:tabs>
          <w:tab w:leader="none" w:pos="15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 or eliminate any Settlement Method or Specified Dollar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 such election or elimination will affect any Settlement Method theretofore elected (or deemed to be elected) with respect to any Note pursuant to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and (ii) such irrevocable election or elimination can in no event result in a Specified Dollar Amount of less than $1,000 per $1,000 principal amount of Notes applying to the conversion of any Note;</w:t>
      </w:r>
    </w:p>
    <w:p>
      <w:pPr>
        <w:spacing w:after="0" w:line="18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or provide for the acceptance of the appointment, under this Indenture, of a successor Trustee;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or confirm the issuance of additional Notes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127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any qualification of this Indenture or any supplemental indenture under the Trust Indenture Act, as then in effect;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this Indenture or the Notes that does not, individually or in the aggregate with all other such changes, adversely affect the rights of the Holders, as such, in any material respect.</w:t>
      </w:r>
    </w:p>
    <w:p>
      <w:pPr>
        <w:spacing w:after="0" w:line="33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8.02.</w:t>
        <w:tab/>
        <w:t>W</w:t>
      </w:r>
      <w:r>
        <w:rPr>
          <w:rFonts w:ascii="Times New Roman" w:cs="Times New Roman" w:eastAsia="Times New Roman" w:hAnsi="Times New Roman"/>
          <w:sz w:val="12"/>
          <w:szCs w:val="12"/>
          <w:b w:val="1"/>
          <w:bCs w:val="1"/>
          <w:color w:val="auto"/>
        </w:rPr>
        <w:t>ith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9" w:lineRule="auto"/>
        <w:tabs>
          <w:tab w:leader="none" w:pos="13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8.01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immediately following sentence, the Company and the Trustee may,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without the consent of each affected Holder, no amendment or supplement to this Indenture or the Notes, or waiver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Notes, may:</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Note;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8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Fundamental Change Repurchase Price or Optional Repurchase Price for any Note or change the times at which, or the circumstances under which, the Notes may or will be redeemed or repurchased by the Company;</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for the payment, of interest on any Note;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w:t>
      </w:r>
    </w:p>
    <w:p>
      <w:pPr>
        <w:spacing w:after="0" w:line="22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 the rights of any Holder set forth in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(as such section is in effect on the Issue Date);</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this Indenture or the Note;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any amendment, supplement, waiver or other modification; or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9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direct or indirect change to any amendment, supplement, waiver or modification provision of this Indenture or the Notes that requires the consent of each affected Holder.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For the avoidance of doubt, pursuant to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8.02(A)</w:t>
      </w:r>
      <w:r>
        <w:rPr>
          <w:rFonts w:ascii="Times New Roman" w:cs="Times New Roman" w:eastAsia="Times New Roman" w:hAnsi="Times New Roman"/>
          <w:sz w:val="18"/>
          <w:szCs w:val="18"/>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Optional Repurchase Date or the Maturity Date or upon conversion, or otherwise), or the date(s) or time(s) such consideration is payable or deliverable, as applicable, without the consent of each affected Holder. Holders do not need to approve the particular form of any proposed amendment. It will be sufficient if such Holders approve the substance of the proposed amendment.</w:t>
      </w:r>
    </w:p>
    <w:p>
      <w:pPr>
        <w:spacing w:after="0" w:line="179" w:lineRule="exact"/>
        <w:rPr>
          <w:sz w:val="20"/>
          <w:szCs w:val="20"/>
          <w:color w:val="auto"/>
        </w:rPr>
      </w:pPr>
    </w:p>
    <w:p>
      <w:pPr>
        <w:ind w:firstLine="656"/>
        <w:spacing w:after="0" w:line="286" w:lineRule="auto"/>
        <w:tabs>
          <w:tab w:leader="none" w:pos="124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Holders Need Not Approve the Particular Form of any Amendment</w:t>
      </w:r>
      <w:r>
        <w:rPr>
          <w:rFonts w:ascii="Times New Roman" w:cs="Times New Roman" w:eastAsia="Times New Roman" w:hAnsi="Times New Roman"/>
          <w:sz w:val="18"/>
          <w:szCs w:val="18"/>
          <w:color w:val="auto"/>
        </w:rPr>
        <w:t>. A consent of any Holder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the substance, and not necessarily the particular form, of the proposed amendment, supplement or waiver.</w:t>
      </w:r>
    </w:p>
    <w:p>
      <w:pPr>
        <w:spacing w:after="0" w:line="329"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8.03.</w:t>
        <w:tab/>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upplements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aivers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soon as reasonably practicable after any amendment, supplement or waiver pursuant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8.02</w:t>
      </w:r>
      <w:r>
        <w:rPr>
          <w:rFonts w:ascii="Times New Roman" w:cs="Times New Roman" w:eastAsia="Times New Roman" w:hAnsi="Times New Roman"/>
          <w:sz w:val="18"/>
          <w:szCs w:val="18"/>
          <w:color w:val="auto"/>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8.04.</w:t>
        <w:tab/>
        <w:t>R</w:t>
      </w:r>
      <w:r>
        <w:rPr>
          <w:rFonts w:ascii="Times New Roman" w:cs="Times New Roman" w:eastAsia="Times New Roman" w:hAnsi="Times New Roman"/>
          <w:sz w:val="12"/>
          <w:szCs w:val="12"/>
          <w:b w:val="1"/>
          <w:bCs w:val="1"/>
          <w:color w:val="auto"/>
        </w:rPr>
        <w:t>evocation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ffect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olicitation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31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The consent of a Holder of a Note to an amendment, supplement or waiver will bind (and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8"/>
          <w:szCs w:val="18"/>
          <w:b w:val="1"/>
          <w:bCs w:val="1"/>
          <w:color w:val="auto"/>
        </w:rPr>
        <w:t>Section 8.04(B)</w:t>
      </w:r>
      <w:r>
        <w:rPr>
          <w:rFonts w:ascii="Times New Roman" w:cs="Times New Roman" w:eastAsia="Times New Roman" w:hAnsi="Times New Roman"/>
          <w:sz w:val="18"/>
          <w:szCs w:val="18"/>
          <w:color w:val="auto"/>
        </w:rPr>
        <w:t>) any such consent with respect to such Note by delivering notice of revocation to the Trustee before the time such amendment, supplement or waiver becomes effective.</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3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Record Dates</w:t>
      </w:r>
      <w:r>
        <w:rPr>
          <w:rFonts w:ascii="Times New Roman" w:cs="Times New Roman" w:eastAsia="Times New Roman" w:hAnsi="Times New Roman"/>
          <w:sz w:val="18"/>
          <w:szCs w:val="18"/>
          <w:color w:val="auto"/>
        </w:rPr>
        <w:t>. The Company may, but is not required to, fix a record date for the purpose of determining the Holders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or take any other action in connection with any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If a record date is fixed, then, notwithstanding anything to the contrary in </w:t>
      </w:r>
      <w:r>
        <w:rPr>
          <w:rFonts w:ascii="Times New Roman" w:cs="Times New Roman" w:eastAsia="Times New Roman" w:hAnsi="Times New Roman"/>
          <w:sz w:val="18"/>
          <w:szCs w:val="18"/>
          <w:b w:val="1"/>
          <w:bCs w:val="1"/>
          <w:color w:val="auto"/>
        </w:rPr>
        <w:t>Section 8.04(A)</w:t>
      </w:r>
      <w:r>
        <w:rPr>
          <w:rFonts w:ascii="Times New Roman" w:cs="Times New Roman" w:eastAsia="Times New Roman" w:hAnsi="Times New Roman"/>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consent will be valid or effective for more than one hundred and twenty (120) calendar days after such record date.</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41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 of Consents</w:t>
      </w:r>
      <w:r>
        <w:rPr>
          <w:rFonts w:ascii="Times New Roman" w:cs="Times New Roman" w:eastAsia="Times New Roman" w:hAnsi="Times New Roman"/>
          <w:sz w:val="18"/>
          <w:szCs w:val="18"/>
          <w:color w:val="auto"/>
        </w:rPr>
        <w:t>. For the avoidance of doubt, each reference in this Indenture or the Notes to the consent of a Holder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include any such consent obtained in connection with a repurchase of, or tender or exchange offer for, any Notes.</w:t>
      </w:r>
    </w:p>
    <w:p>
      <w:pPr>
        <w:spacing w:after="0" w:line="156" w:lineRule="exact"/>
        <w:rPr>
          <w:rFonts w:ascii="Times New Roman" w:cs="Times New Roman" w:eastAsia="Times New Roman" w:hAnsi="Times New Roman"/>
          <w:sz w:val="18"/>
          <w:szCs w:val="18"/>
          <w:color w:val="auto"/>
        </w:rPr>
      </w:pPr>
    </w:p>
    <w:p>
      <w:pPr>
        <w:jc w:val="both"/>
        <w:ind w:firstLine="656"/>
        <w:spacing w:after="0" w:line="268" w:lineRule="auto"/>
        <w:tabs>
          <w:tab w:leader="none" w:pos="133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and Binding Effect</w:t>
      </w:r>
      <w:r>
        <w:rPr>
          <w:rFonts w:ascii="Times New Roman" w:cs="Times New Roman" w:eastAsia="Times New Roman" w:hAnsi="Times New Roman"/>
          <w:sz w:val="18"/>
          <w:szCs w:val="18"/>
          <w:color w:val="auto"/>
        </w:rPr>
        <w:t>. Each amendment, supplement or waiver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become effective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terms and, when it becomes effective with respect to any Note (or any portion thereof), will thereafter bind every Holder of such Note (or such portion).</w:t>
      </w:r>
    </w:p>
    <w:p>
      <w:pPr>
        <w:spacing w:after="0" w:line="34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8.05.</w:t>
        <w:tab/>
        <w:t>N</w:t>
      </w:r>
      <w:r>
        <w:rPr>
          <w:rFonts w:ascii="Times New Roman" w:cs="Times New Roman" w:eastAsia="Times New Roman" w:hAnsi="Times New Roman"/>
          <w:sz w:val="12"/>
          <w:szCs w:val="12"/>
          <w:b w:val="1"/>
          <w:bCs w:val="1"/>
          <w:color w:val="auto"/>
        </w:rPr>
        <w:t>otations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will not impair or affect the validity of such amendment, supplement or waiver.</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8.06.</w:t>
        <w:tab/>
        <w:t>T</w:t>
      </w:r>
      <w:r>
        <w:rPr>
          <w:rFonts w:ascii="Times New Roman" w:cs="Times New Roman" w:eastAsia="Times New Roman" w:hAnsi="Times New Roman"/>
          <w:sz w:val="12"/>
          <w:szCs w:val="12"/>
          <w:b w:val="1"/>
          <w:bCs w:val="1"/>
          <w:color w:val="auto"/>
        </w:rPr>
        <w:t>rustee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upplemental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ndentures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Trustee will execute and deliver any amendment or supplemental indenture authorized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18"/>
          <w:szCs w:val="18"/>
          <w:b w:val="1"/>
          <w:bCs w:val="1"/>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10.02</w:t>
      </w:r>
      <w:r>
        <w:rPr>
          <w:rFonts w:ascii="Times New Roman" w:cs="Times New Roman" w:eastAsia="Times New Roman" w:hAnsi="Times New Roman"/>
          <w:sz w:val="18"/>
          <w:szCs w:val="18"/>
          <w:color w:val="auto"/>
        </w:rPr>
        <w:t>) will be fully protected in relying on, an Officer’s Certificate and an Opinion of Counsel stating that</w:t>
      </w:r>
    </w:p>
    <w:p>
      <w:pPr>
        <w:spacing w:after="0" w:line="3" w:lineRule="exact"/>
        <w:rPr>
          <w:sz w:val="20"/>
          <w:szCs w:val="20"/>
          <w:color w:val="auto"/>
        </w:rPr>
      </w:pPr>
    </w:p>
    <w:p>
      <w:pPr>
        <w:ind w:firstLine="8"/>
        <w:spacing w:after="0" w:line="260" w:lineRule="auto"/>
        <w:tabs>
          <w:tab w:leader="none" w:pos="3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177" w:lineRule="exact"/>
        <w:rPr>
          <w:sz w:val="20"/>
          <w:szCs w:val="20"/>
          <w:color w:val="auto"/>
        </w:rPr>
      </w:pPr>
    </w:p>
    <w:p>
      <w:pPr>
        <w:ind w:left="3680"/>
        <w:spacing w:after="0"/>
        <w:tabs>
          <w:tab w:leader="none" w:pos="464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7"/>
          <w:szCs w:val="17"/>
          <w:b w:val="1"/>
          <w:bCs w:val="1"/>
          <w:color w:val="auto"/>
        </w:rPr>
        <w:t>SATISFACTION AND DISCHARGE</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9.01.</w:t>
        <w:tab/>
        <w:t>T</w:t>
      </w:r>
      <w:r>
        <w:rPr>
          <w:rFonts w:ascii="Times New Roman" w:cs="Times New Roman" w:eastAsia="Times New Roman" w:hAnsi="Times New Roman"/>
          <w:sz w:val="12"/>
          <w:szCs w:val="12"/>
          <w:b w:val="1"/>
          <w:bCs w:val="1"/>
          <w:color w:val="auto"/>
        </w:rPr>
        <w:t>ermination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have (i) been delivered to the Trustee for cancellation; or</w:t>
      </w:r>
    </w:p>
    <w:p>
      <w:pPr>
        <w:spacing w:after="0" w:line="31" w:lineRule="exact"/>
        <w:rPr>
          <w:rFonts w:ascii="Times New Roman" w:cs="Times New Roman" w:eastAsia="Times New Roman" w:hAnsi="Times New Roman"/>
          <w:sz w:val="18"/>
          <w:szCs w:val="18"/>
          <w:color w:val="auto"/>
        </w:rPr>
      </w:pPr>
    </w:p>
    <w:p>
      <w:pPr>
        <w:ind w:firstLine="8"/>
        <w:spacing w:after="0" w:line="260" w:lineRule="auto"/>
        <w:tabs>
          <w:tab w:leader="none" w:pos="2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due and payable (whether on a Redemption Date, a Fundamental Change Repurchase Date, the Optional Repurchase Date, the Maturity Date, upon conversion or otherwise) for an amount of cash or Conversion Consideration, as applicable, that has been fixed;</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all other amounts payable by it under this Indenture;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3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the conditions precedent to the discharge of this Indenture have been satisfied;</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such discharge and, until no Notes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Trustee, the Paying Agent and the Conversion Agent with respect to money or other property deposited with them will survive such discharge.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9.02.</w:t>
        <w:tab/>
        <w:t>R</w:t>
      </w:r>
      <w:r>
        <w:rPr>
          <w:rFonts w:ascii="Times New Roman" w:cs="Times New Roman" w:eastAsia="Times New Roman" w:hAnsi="Times New Roman"/>
          <w:sz w:val="12"/>
          <w:szCs w:val="12"/>
          <w:b w:val="1"/>
          <w:bCs w:val="1"/>
          <w:color w:val="auto"/>
        </w:rPr>
        <w:t>epayment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8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9.03.</w:t>
        <w:tab/>
        <w:t>R</w:t>
      </w:r>
      <w:r>
        <w:rPr>
          <w:rFonts w:ascii="Times New Roman" w:cs="Times New Roman" w:eastAsia="Times New Roman" w:hAnsi="Times New Roman"/>
          <w:sz w:val="12"/>
          <w:szCs w:val="12"/>
          <w:b w:val="1"/>
          <w:bCs w:val="1"/>
          <w:color w:val="auto"/>
        </w:rPr>
        <w:t>einstatement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will be rescinded;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179"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7"/>
          <w:szCs w:val="17"/>
          <w:b w:val="1"/>
          <w:bCs w:val="1"/>
          <w:color w:val="auto"/>
        </w:rPr>
        <w:t>TRUSTEE</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10.01.</w:t>
        <w:tab/>
        <w:t>D</w:t>
      </w:r>
      <w:r>
        <w:rPr>
          <w:rFonts w:ascii="Times New Roman" w:cs="Times New Roman" w:eastAsia="Times New Roman" w:hAnsi="Times New Roman"/>
          <w:sz w:val="12"/>
          <w:szCs w:val="12"/>
          <w:b w:val="1"/>
          <w:bCs w:val="1"/>
          <w:color w:val="auto"/>
        </w:rPr>
        <w:t>uties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66" w:lineRule="auto"/>
        <w:tabs>
          <w:tab w:leader="none" w:pos="136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and a Responsible Officer of the Trustee has received written notice or obtains actual knowledge of the same, then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both"/>
        <w:ind w:left="4" w:firstLine="644"/>
        <w:spacing w:after="0" w:line="261" w:lineRule="auto"/>
        <w:tabs>
          <w:tab w:leader="none" w:pos="130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provided, however, that the Trustee will examine the certificates and opinions to determine whether or not they conform to the requirements of this Indenture.</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negligence or willful misconduct, except that:</w:t>
      </w:r>
    </w:p>
    <w:p>
      <w:pPr>
        <w:spacing w:after="0" w:line="221"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will not limit the effect of </w:t>
      </w:r>
      <w:r>
        <w:rPr>
          <w:rFonts w:ascii="Times New Roman" w:cs="Times New Roman" w:eastAsia="Times New Roman" w:hAnsi="Times New Roman"/>
          <w:sz w:val="18"/>
          <w:szCs w:val="18"/>
          <w:b w:val="1"/>
          <w:bCs w:val="1"/>
          <w:color w:val="auto"/>
        </w:rPr>
        <w:t>Section 10.01(B)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firstLine="644"/>
        <w:spacing w:after="0" w:line="282" w:lineRule="auto"/>
        <w:tabs>
          <w:tab w:leader="none" w:pos="132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 and</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1393"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6" w:firstLine="656"/>
        <w:spacing w:after="0" w:line="286" w:lineRule="auto"/>
        <w:tabs>
          <w:tab w:leader="none" w:pos="7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provision of this Indenture that in any way relates to the Trustee is subject to </w:t>
      </w:r>
      <w:r>
        <w:rPr>
          <w:rFonts w:ascii="Times New Roman" w:cs="Times New Roman" w:eastAsia="Times New Roman" w:hAnsi="Times New Roman"/>
          <w:sz w:val="18"/>
          <w:szCs w:val="18"/>
          <w:b w:val="1"/>
          <w:bCs w:val="1"/>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regardless of whether such provision so expressly provides.</w:t>
      </w:r>
    </w:p>
    <w:p>
      <w:pPr>
        <w:spacing w:after="0" w:line="15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7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in its individual capacity for the obligations evidenced by the Notes.</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78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therein provided, every provision of this Indenture relating to the conduct or affecting the liability of, or affording protection to, the Trustee will be subject to the provisions of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will not be construed as duties.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of this Indenture or otherwise.</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64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Responsible Officer of the Trustee has received notice from the Company that Additional Interest is owing on the Notes or that the Company has elected to pay Special Interest on the Notes, the Trustee may assume no Additional Interest or Special Interest, as applicable, is payable.</w:t>
      </w:r>
    </w:p>
    <w:p>
      <w:pPr>
        <w:spacing w:after="0" w:line="332"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89" w:name="page90"/>
    <w:bookmarkEnd w:id="89"/>
    <w:p>
      <w:pPr>
        <w:ind w:firstLine="656"/>
        <w:spacing w:after="0" w:line="282" w:lineRule="auto"/>
        <w:tabs>
          <w:tab w:leader="none" w:pos="125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charged with knowledge of any document or agreement other than this Indenture and the Notes.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17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10.02.</w:t>
        <w:tab/>
        <w:t>R</w:t>
      </w:r>
      <w:r>
        <w:rPr>
          <w:rFonts w:ascii="Times New Roman" w:cs="Times New Roman" w:eastAsia="Times New Roman" w:hAnsi="Times New Roman"/>
          <w:sz w:val="12"/>
          <w:szCs w:val="12"/>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56"/>
        <w:spacing w:after="0" w:line="282" w:lineRule="auto"/>
        <w:tabs>
          <w:tab w:leader="none" w:pos="13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such agent appointed with due care.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7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and that it believes to be authorized or within the rights or powers vested in it by this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2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exercise any rights or powers vested in it by this Indenture at the request or direction of any Holder unless such Holder has offered (and, if requested, provided with) the Trustee security or indemnity satisfactory to the Trustee against any loss, liability or expense that it may incur in complying with such request or direction.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10.03.</w:t>
        <w:tab/>
        <w:t>I</w:t>
      </w:r>
      <w:r>
        <w:rPr>
          <w:rFonts w:ascii="Times New Roman" w:cs="Times New Roman" w:eastAsia="Times New Roman" w:hAnsi="Times New Roman"/>
          <w:sz w:val="12"/>
          <w:szCs w:val="12"/>
          <w:b w:val="1"/>
          <w:bCs w:val="1"/>
          <w:color w:val="auto"/>
        </w:rPr>
        <w:t>ndividual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8"/>
          <w:szCs w:val="18"/>
          <w:b w:val="1"/>
          <w:bCs w:val="1"/>
          <w:color w:val="auto"/>
        </w:rPr>
        <w:t>Section 10.03</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10.04.</w:t>
        <w:tab/>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isclaimer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10.05.</w:t>
        <w:tab/>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 Default or Event of Default occurs and is continuing and is known to a Responsible Officer of the Trustee, then the Trustee will send Holders a notice of such Default or Event of Default within ninety (90) days after it occurs or, if it is not known to the Trustee at such time, promptly (and in any event within ten (10) Business Days) after it becomes known to a Responsible Officer;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or Event of Default in the payment of the principal of, or interest on, any Note, or a default in the payment or delivery of the Conversion Consideration due upon conversion, the Trustee 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w:t>
      </w:r>
    </w:p>
    <w:p>
      <w:pPr>
        <w:spacing w:after="0" w:line="18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10.06.</w:t>
        <w:tab/>
        <w:t>C</w:t>
      </w:r>
      <w:r>
        <w:rPr>
          <w:rFonts w:ascii="Times New Roman" w:cs="Times New Roman" w:eastAsia="Times New Roman" w:hAnsi="Times New Roman"/>
          <w:sz w:val="12"/>
          <w:szCs w:val="12"/>
          <w:b w:val="1"/>
          <w:bCs w:val="1"/>
          <w:color w:val="auto"/>
        </w:rPr>
        <w:t>ompensation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ndemnity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8" w:lineRule="auto"/>
        <w:tabs>
          <w:tab w:leader="none" w:pos="121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from time to time, pay the Trustee reasonable compensation for its acceptance of this Indenture and services under this Indenture, as separately agreed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656"/>
        <w:spacing w:after="0" w:line="253" w:lineRule="auto"/>
        <w:tabs>
          <w:tab w:leader="none" w:pos="130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indemnify the Trustee (in each of its capacities)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to its negligence, or willful misconduct, as determined by a final decision of a court of competent jurisdiction.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18"/>
          <w:szCs w:val="18"/>
          <w:b w:val="1"/>
          <w:bCs w:val="1"/>
          <w:color w:val="auto"/>
        </w:rPr>
        <w:t>Section 10.06(B)</w:t>
      </w:r>
      <w:r>
        <w:rPr>
          <w:rFonts w:ascii="Times New Roman" w:cs="Times New Roman" w:eastAsia="Times New Roman" w:hAnsi="Times New Roman"/>
          <w:sz w:val="18"/>
          <w:szCs w:val="18"/>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8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will survive the resignation or removal of the Trustee and the discharge of this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139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secure the Company’s payment obligations in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0"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21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incurs expenses or renders services after an Event of Default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10.07.</w:t>
        <w:tab/>
        <w:t>R</w:t>
      </w:r>
      <w:r>
        <w:rPr>
          <w:rFonts w:ascii="Times New Roman" w:cs="Times New Roman" w:eastAsia="Times New Roman" w:hAnsi="Times New Roman"/>
          <w:sz w:val="12"/>
          <w:szCs w:val="12"/>
          <w:b w:val="1"/>
          <w:bCs w:val="1"/>
          <w:color w:val="auto"/>
        </w:rPr>
        <w:t>eplacement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20" w:firstLine="656"/>
        <w:spacing w:after="0" w:line="286" w:lineRule="auto"/>
        <w:tabs>
          <w:tab w:leader="none" w:pos="121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to be bankrupt or insolvent or an order for relief is entered with respect to the Trustee under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w:t>
      </w:r>
    </w:p>
    <w:p>
      <w:pPr>
        <w:spacing w:after="0" w:line="20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both"/>
        <w:ind w:firstLine="656"/>
        <w:spacing w:after="0" w:line="266" w:lineRule="auto"/>
        <w:tabs>
          <w:tab w:leader="none" w:pos="12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1" w:lineRule="exact"/>
        <w:rPr>
          <w:rFonts w:ascii="Times New Roman" w:cs="Times New Roman" w:eastAsia="Times New Roman" w:hAnsi="Times New Roman"/>
          <w:sz w:val="18"/>
          <w:szCs w:val="18"/>
          <w:color w:val="auto"/>
        </w:rPr>
      </w:pPr>
    </w:p>
    <w:p>
      <w:pPr>
        <w:ind w:firstLine="656"/>
        <w:spacing w:after="0" w:line="286" w:lineRule="auto"/>
        <w:tabs>
          <w:tab w:leader="none" w:pos="140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after written request by a Holder of at least six (6) months,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 then such Holder may petition any court of competent jurisdiction for the removal of the Trustee and the appointment of a successor Trustee.</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8"/>
          <w:szCs w:val="18"/>
          <w:b w:val="1"/>
          <w:bCs w:val="1"/>
          <w:color w:val="auto"/>
        </w:rPr>
        <w:t>Section 10.06(D)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10.08.</w:t>
        <w:tab/>
        <w:t>S</w:t>
      </w:r>
      <w:r>
        <w:rPr>
          <w:rFonts w:ascii="Times New Roman" w:cs="Times New Roman" w:eastAsia="Times New Roman" w:hAnsi="Times New Roman"/>
          <w:sz w:val="12"/>
          <w:szCs w:val="12"/>
          <w:b w:val="1"/>
          <w:bCs w:val="1"/>
          <w:color w:val="auto"/>
        </w:rPr>
        <w:t>uccessor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entity, then such entity will become the successor Trustee without any further act.</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10.09.</w:t>
        <w:tab/>
        <w:t>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isqualification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76"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11.01.</w:t>
        <w:tab/>
        <w:t>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410 N. Scottsdale Road, Suite 1600 Tempe, AZ 85288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410 N. Scottsdale Road, Suite 1600 Tempe, AZ 85288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legal@opendoor.com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West Side Flats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 Fillmore Ave 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Saint Paul, MN 55107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EP-MN-WS3C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Joshua A. Hahn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joshua.hahn@usbank.com</w:t>
      </w:r>
    </w:p>
    <w:p>
      <w:pPr>
        <w:spacing w:after="0" w:line="207"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 notices to the Trustee (other than a notice pursuant to Section 2.12) or any Note Agent must be in writing and will be deemed to have been given upon actual receipt by the Trustee or such Note Agent, as applicable.</w:t>
      </w:r>
    </w:p>
    <w:p>
      <w:pPr>
        <w:spacing w:after="0" w:line="3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(including facsimile numbers and electronic addresses) for subsequent notices or communications.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Each other party assumes all risks arising out of the use of electronic signatures and electronic methods to send communications to the Trustee, including without limitation the risk of the Trustee acting on an unauthorized communication, and the risk of interception or misuse by third parties. Notwithstanding the foregoing, the Trustee may in any instance and in its sole discretion require that an original document bearing a manual signature be delivered to the Trustee in lieu of, or in addition to, any such electronic communication.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notice or communication to a Holder of a Global Note shall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sent in the manner provided above within the time prescribed, it will be deemed to have been duly given, whether or not the addressee receives 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11.02.</w:t>
        <w:tab/>
        <w:t>D</w:t>
      </w:r>
      <w:r>
        <w:rPr>
          <w:rFonts w:ascii="Times New Roman" w:cs="Times New Roman" w:eastAsia="Times New Roman" w:hAnsi="Times New Roman"/>
          <w:sz w:val="12"/>
          <w:szCs w:val="12"/>
          <w:b w:val="1"/>
          <w:bCs w:val="1"/>
          <w:color w:val="auto"/>
        </w:rPr>
        <w:t>elivery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ounsel as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(other than the initial authentication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under this Indenture), the Company will furnish to the Trustee:</w:t>
      </w:r>
    </w:p>
    <w:p>
      <w:pPr>
        <w:spacing w:after="0" w:line="203" w:lineRule="exact"/>
        <w:rPr>
          <w:sz w:val="20"/>
          <w:szCs w:val="20"/>
          <w:color w:val="auto"/>
        </w:rPr>
      </w:pPr>
    </w:p>
    <w:p>
      <w:pPr>
        <w:ind w:right="20" w:firstLine="656"/>
        <w:spacing w:after="0" w:line="286" w:lineRule="auto"/>
        <w:tabs>
          <w:tab w:leader="none" w:pos="131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such counsel, all such conditions precedent and covenants, if any, have been satisfied.</w:t>
      </w:r>
    </w:p>
    <w:p>
      <w:pPr>
        <w:spacing w:after="0" w:line="329"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11.03.</w:t>
        <w:tab/>
        <w:t>S</w:t>
      </w:r>
      <w:r>
        <w:rPr>
          <w:rFonts w:ascii="Times New Roman" w:cs="Times New Roman" w:eastAsia="Times New Roman" w:hAnsi="Times New Roman"/>
          <w:sz w:val="12"/>
          <w:szCs w:val="12"/>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ounsel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Each Officer’s Certificate (other than an Officer’s Certificate pursuant to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or Opinion of Counsel with respect to compliance with a covenant or condition provided for in this Indenture will include:</w:t>
      </w:r>
    </w:p>
    <w:p>
      <w:pPr>
        <w:spacing w:after="0" w:line="159" w:lineRule="exact"/>
        <w:rPr>
          <w:sz w:val="20"/>
          <w:szCs w:val="20"/>
          <w:color w:val="auto"/>
        </w:rPr>
      </w:pPr>
    </w:p>
    <w:p>
      <w:pPr>
        <w:ind w:left="1320" w:hanging="664"/>
        <w:spacing w:after="0"/>
        <w:tabs>
          <w:tab w:leader="none" w:pos="1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signatory thereto has read such covenant or condition;</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therein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based;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2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such signatory, such covenant or condition has been satisfied.</w:t>
      </w:r>
    </w:p>
    <w:p>
      <w:pPr>
        <w:spacing w:after="0" w:line="22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11.04.</w:t>
        <w:tab/>
        <w:t>R</w:t>
      </w:r>
      <w:r>
        <w:rPr>
          <w:rFonts w:ascii="Times New Roman" w:cs="Times New Roman" w:eastAsia="Times New Roman" w:hAnsi="Times New Roman"/>
          <w:sz w:val="12"/>
          <w:szCs w:val="12"/>
          <w:b w:val="1"/>
          <w:bCs w:val="1"/>
          <w:color w:val="auto"/>
        </w:rPr>
        <w:t>ules by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Paying Agent or Conversion Agent may make reasonable rules and set reasonable requirements for its functions.</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11.05.</w:t>
        <w:tab/>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fficers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mployees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11.06.</w:t>
        <w:tab/>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11.07.</w:t>
        <w:tab/>
        <w:t>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8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11.08.</w:t>
        <w:tab/>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dverse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nterpretation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11.09.</w:t>
        <w:tab/>
        <w:t>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in this Indenture will bind its successors.</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11.10.</w:t>
        <w:tab/>
        <w:t>F</w:t>
      </w:r>
      <w:r>
        <w:rPr>
          <w:rFonts w:ascii="Times New Roman" w:cs="Times New Roman" w:eastAsia="Times New Roman" w:hAnsi="Times New Roman"/>
          <w:sz w:val="12"/>
          <w:szCs w:val="12"/>
          <w:b w:val="1"/>
          <w:bCs w:val="1"/>
          <w:color w:val="auto"/>
        </w:rPr>
        <w:t>orce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ajeure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7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11.11.</w:t>
        <w:tab/>
        <w:t>U.S.A. PATRIOT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11.12.</w:t>
        <w:tab/>
        <w:t>C</w:t>
      </w:r>
      <w:r>
        <w:rPr>
          <w:rFonts w:ascii="Times New Roman" w:cs="Times New Roman" w:eastAsia="Times New Roman" w:hAnsi="Times New Roman"/>
          <w:sz w:val="12"/>
          <w:szCs w:val="12"/>
          <w:b w:val="1"/>
          <w:bCs w:val="1"/>
          <w:color w:val="auto"/>
        </w:rPr>
        <w:t>alculations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any Additional Interest or Special Interest on the Notes, the Redemption Price, the Optional Repurchase Date, the Fundamental Change Repurchase Price, and the Conversion Rate. The Trustee shall not be responsible for verifying such calculations.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orthe Notes.</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11.13.</w:t>
        <w:tab/>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11.14.</w:t>
        <w:tab/>
        <w:t>C</w:t>
      </w:r>
      <w:r>
        <w:rPr>
          <w:rFonts w:ascii="Times New Roman" w:cs="Times New Roman" w:eastAsia="Times New Roman" w:hAnsi="Times New Roman"/>
          <w:sz w:val="12"/>
          <w:szCs w:val="12"/>
          <w:b w:val="1"/>
          <w:bCs w:val="1"/>
          <w:color w:val="auto"/>
        </w:rPr>
        <w:t>ounterparts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7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11.15.</w:t>
        <w:tab/>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11.16.</w:t>
        <w:tab/>
        <w:t>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a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to this Indenture have caused this Indenture to be duly executed as of the date first written above.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Selim Freiha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Selim Freiha</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498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Joshua A. Hahn</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391"/>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OF NOTE</w:t>
            </w:r>
          </w:p>
        </w:tc>
        <w:tc>
          <w:tcPr>
            <w:tcW w:w="4960" w:type="dxa"/>
            <w:vAlign w:val="bottom"/>
          </w:tcPr>
          <w:p>
            <w:pPr>
              <w:spacing w:after="0"/>
              <w:rPr>
                <w:sz w:val="24"/>
                <w:szCs w:val="24"/>
                <w:color w:val="auto"/>
              </w:rPr>
            </w:pPr>
          </w:p>
        </w:tc>
      </w:tr>
      <w:tr>
        <w:trPr>
          <w:trHeight w:val="453"/>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60" w:type="dxa"/>
            <w:vAlign w:val="bottom"/>
            <w:gridSpan w:val="3"/>
          </w:tcPr>
          <w:p>
            <w:pPr>
              <w:jc w:val="center"/>
              <w:ind w:right="26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Global Note Legend, if applicable</w:t>
            </w:r>
            <w:r>
              <w:rPr>
                <w:rFonts w:ascii="Times New Roman" w:cs="Times New Roman" w:eastAsia="Times New Roman" w:hAnsi="Times New Roman"/>
                <w:sz w:val="18"/>
                <w:szCs w:val="18"/>
                <w:color w:val="auto"/>
                <w:w w:val="99"/>
              </w:rPr>
              <w:t>]</w:t>
            </w:r>
          </w:p>
        </w:tc>
      </w:tr>
      <w:tr>
        <w:trPr>
          <w:trHeight w:val="432"/>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6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Restricted Note Legend, if applicable</w:t>
            </w:r>
            <w:r>
              <w:rPr>
                <w:rFonts w:ascii="Times New Roman" w:cs="Times New Roman" w:eastAsia="Times New Roman" w:hAnsi="Times New Roman"/>
                <w:sz w:val="18"/>
                <w:szCs w:val="18"/>
                <w:color w:val="auto"/>
                <w:w w:val="99"/>
              </w:rPr>
              <w:t>]</w:t>
            </w:r>
          </w:p>
        </w:tc>
      </w:tr>
      <w:tr>
        <w:trPr>
          <w:trHeight w:val="432"/>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6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Non-Affiliate Legend</w:t>
            </w:r>
            <w:r>
              <w:rPr>
                <w:rFonts w:ascii="Times New Roman" w:cs="Times New Roman" w:eastAsia="Times New Roman" w:hAnsi="Times New Roman"/>
                <w:sz w:val="18"/>
                <w:szCs w:val="18"/>
                <w:color w:val="auto"/>
                <w:w w:val="99"/>
              </w:rPr>
              <w:t>]</w:t>
            </w:r>
          </w:p>
        </w:tc>
      </w:tr>
      <w:tr>
        <w:trPr>
          <w:trHeight w:val="432"/>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60" w:type="dxa"/>
            <w:vAlign w:val="bottom"/>
            <w:gridSpan w:val="3"/>
          </w:tcPr>
          <w:p>
            <w:pPr>
              <w:jc w:val="center"/>
              <w:ind w:right="26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OID Legend</w:t>
            </w:r>
            <w:r>
              <w:rPr>
                <w:rFonts w:ascii="Times New Roman" w:cs="Times New Roman" w:eastAsia="Times New Roman" w:hAnsi="Times New Roman"/>
                <w:sz w:val="18"/>
                <w:szCs w:val="18"/>
                <w:color w:val="auto"/>
                <w:w w:val="99"/>
              </w:rPr>
              <w:t>]</w:t>
            </w:r>
          </w:p>
        </w:tc>
      </w:tr>
      <w:tr>
        <w:trPr>
          <w:trHeight w:val="432"/>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6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tc>
      </w:tr>
      <w:tr>
        <w:trPr>
          <w:trHeight w:val="432"/>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6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7.000% Convertible Senior Note due 2030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[___]</w:t>
            </w:r>
          </w:p>
        </w:tc>
        <w:tc>
          <w:tcPr>
            <w:tcW w:w="2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Certificate No. [___]</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ISIN No.:</w:t>
            </w:r>
          </w:p>
        </w:tc>
        <w:tc>
          <w:tcPr>
            <w:tcW w:w="17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[___]</w:t>
            </w:r>
          </w:p>
        </w:tc>
        <w:tc>
          <w:tcPr>
            <w:tcW w:w="2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96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Opendoor Technologies Inc., a Delaware corporation, for value received, promises to pay to [Cede &amp; Co.], or its registered assigns, the principal sum of [___] dollars ($[___]) [(as revised by the attached Schedule of Exchanges of Interests in the Global Note)]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on May 15, 2030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117" w:right="339" w:bottom="144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and November 15 of each year, commencing on November 15, 2025.</w:t>
      </w:r>
    </w:p>
    <w:p>
      <w:pPr>
        <w:spacing w:after="0" w:line="200" w:lineRule="exact"/>
        <w:rPr>
          <w:sz w:val="20"/>
          <w:szCs w:val="20"/>
          <w:color w:val="auto"/>
        </w:rPr>
      </w:pPr>
    </w:p>
    <w:p>
      <w:pPr>
        <w:sectPr>
          <w:pgSz w:w="11900" w:h="16838" w:orient="portrait"/>
          <w:cols w:equalWidth="0" w:num="2">
            <w:col w:w="1880" w:space="720"/>
            <w:col w:w="8640"/>
          </w:cols>
          <w:pgMar w:left="320" w:top="117"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Regular Record Dates: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 and November 1 (whether or not a Business Day).</w:t>
      </w:r>
    </w:p>
    <w:p>
      <w:pPr>
        <w:spacing w:after="0" w:line="200" w:lineRule="exact"/>
        <w:rPr>
          <w:sz w:val="20"/>
          <w:szCs w:val="20"/>
          <w:color w:val="auto"/>
        </w:rPr>
      </w:pPr>
    </w:p>
    <w:p>
      <w:pPr>
        <w:sectPr>
          <w:pgSz w:w="11900" w:h="16838" w:orient="portrait"/>
          <w:cols w:equalWidth="0" w:num="2">
            <w:col w:w="1880" w:space="720"/>
            <w:col w:w="8640"/>
          </w:cols>
          <w:pgMar w:left="320" w:top="117"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The Remainder of This Page Intentionally Left Blank; 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4230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96" w:lineRule="exact"/>
        <w:rPr>
          <w:sz w:val="20"/>
          <w:szCs w:val="20"/>
          <w:color w:val="auto"/>
        </w:rPr>
      </w:pPr>
    </w:p>
    <w:p>
      <w:pPr>
        <w:ind w:left="160" w:hanging="152"/>
        <w:spacing w:after="0"/>
        <w:tabs>
          <w:tab w:leader="none" w:pos="160" w:val="left"/>
        </w:tabs>
        <w:numPr>
          <w:ilvl w:val="0"/>
          <w:numId w:val="1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bracketed language for Global Notes only.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0" w:name="page101"/>
    <w:bookmarkEnd w:id="100"/>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Opendoor Technologies Inc. has caused this instrument to be duly executed as of the date set forth below.</w:t>
      </w: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117" w:right="1199" w:bottom="1440" w:gutter="0" w:footer="0" w:header="0"/>
        </w:sectPr>
      </w:pPr>
    </w:p>
    <w:bookmarkStart w:id="101" w:name="page102"/>
    <w:bookmarkEnd w:id="101"/>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37"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3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102" w:name="page103"/>
    <w:bookmarkEnd w:id="102"/>
    <w:p>
      <w:pPr>
        <w:ind w:left="41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7.000% Convertible Senior Note due 2030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Note is one of a duly authorized issue of notes of Opendoor Technologies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7.000%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all issued or to be issued pursuant to an indenture, dated as of May 16, 2025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Capitalized terms used in this Note without definition have the respective meanings ascribed to them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2" w:lineRule="exact"/>
        <w:rPr>
          <w:sz w:val="20"/>
          <w:szCs w:val="20"/>
          <w:color w:val="auto"/>
        </w:rPr>
      </w:pPr>
    </w:p>
    <w:p>
      <w:pPr>
        <w:ind w:firstLine="656"/>
        <w:spacing w:after="0" w:line="286" w:lineRule="auto"/>
        <w:tabs>
          <w:tab w:leader="none" w:pos="128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This Note will accrue interest at a rate and in the manner set forth in Section 2.05 of the Indenture. Stated Interest on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begin to accrue from, and including, May 16, 2025.</w:t>
      </w:r>
    </w:p>
    <w:p>
      <w:pPr>
        <w:spacing w:after="0" w:line="15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This Note will mature on May 15, 2030, unless earlier repurchased, redeemed or converted.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Cash amounts due on this Note will be paid in the manner set forth in Section 2.04 of the Indenture.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Holder of this Note will be treated as the owner of this Note for all purposes.</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138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 Transfers and Exchanges</w:t>
      </w:r>
      <w:r>
        <w:rPr>
          <w:rFonts w:ascii="Times New Roman" w:cs="Times New Roman" w:eastAsia="Times New Roman" w:hAnsi="Times New Roman"/>
          <w:sz w:val="18"/>
          <w:szCs w:val="18"/>
          <w:color w:val="auto"/>
        </w:rPr>
        <w:t>. All Notes will be in registered form, without coupons, in principal amounts equal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0"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39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Holders to Require the Company to Repurchase Notes Upon a Fundamental Change</w:t>
      </w:r>
      <w:r>
        <w:rPr>
          <w:rFonts w:ascii="Times New Roman" w:cs="Times New Roman" w:eastAsia="Times New Roman" w:hAnsi="Times New Roman"/>
          <w:sz w:val="18"/>
          <w:szCs w:val="18"/>
          <w:color w:val="auto"/>
        </w:rPr>
        <w:t>. If a Fundamental Change occurs,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each Holder will have the right to require the Company to repurchase such Holder’s Notes (or any portion thereof in an Authorized Denomination) for cash in the manner, and subject to the terms, set forth in Section 4.02 of the Indenture.</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Holders to Require the Company to Repurchase Notes on the Optional Repurchase Date</w:t>
      </w:r>
      <w:r>
        <w:rPr>
          <w:rFonts w:ascii="Times New Roman" w:cs="Times New Roman" w:eastAsia="Times New Roman" w:hAnsi="Times New Roman"/>
          <w:sz w:val="18"/>
          <w:szCs w:val="18"/>
          <w:color w:val="auto"/>
        </w:rPr>
        <w:t>. Each Holder will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require the Company to repurchase such Holder’s Notes (or any portion thereof in an Authorized Denomination) on the Optional Repurchase Date for cash in the manner, and subject to the terms, set forth in Section 4.03 of the Indenture.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ind w:firstLine="656"/>
        <w:spacing w:after="0" w:line="286" w:lineRule="auto"/>
        <w:tabs>
          <w:tab w:leader="none" w:pos="13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the Company to Redeem the Notes</w:t>
      </w:r>
      <w:r>
        <w:rPr>
          <w:rFonts w:ascii="Times New Roman" w:cs="Times New Roman" w:eastAsia="Times New Roman" w:hAnsi="Times New Roman"/>
          <w:sz w:val="18"/>
          <w:szCs w:val="18"/>
          <w:color w:val="auto"/>
        </w:rPr>
        <w:t>. The Company will have the right to redeem the Notes for cash in the manner,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set forth in Section 4.04 of the Indenture.</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32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Holder of this Note may convert this Note into Conversion Consideration in the manner, and subject to the terms,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Article 5 of the Indenture.</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13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When the Company May Merge, Etc</w:t>
      </w:r>
      <w:r>
        <w:rPr>
          <w:rFonts w:ascii="Times New Roman" w:cs="Times New Roman" w:eastAsia="Times New Roman" w:hAnsi="Times New Roman"/>
          <w:sz w:val="18"/>
          <w:szCs w:val="18"/>
          <w:color w:val="auto"/>
        </w:rPr>
        <w:t>. Article 6 of the Indenture places limited restrictions on the Company’s ability to be a party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Event.</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39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Defaults and Remedies</w:t>
      </w:r>
      <w:r>
        <w:rPr>
          <w:rFonts w:ascii="Times New Roman" w:cs="Times New Roman" w:eastAsia="Times New Roman" w:hAnsi="Times New Roman"/>
          <w:sz w:val="18"/>
          <w:szCs w:val="18"/>
          <w:color w:val="auto"/>
        </w:rPr>
        <w:t>. If an Event of Default occurs, then the principal amount of, and all accrued and unpaid interest on,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then outstanding may (and, in certain circumstances, will automatically) become due and payable in the manner, and subject to the terms, set forth in Article 7 of the Indenture.</w:t>
      </w:r>
    </w:p>
    <w:p>
      <w:pPr>
        <w:spacing w:after="0" w:line="170" w:lineRule="exact"/>
        <w:rPr>
          <w:rFonts w:ascii="Times New Roman" w:cs="Times New Roman" w:eastAsia="Times New Roman" w:hAnsi="Times New Roman"/>
          <w:sz w:val="18"/>
          <w:szCs w:val="18"/>
          <w:color w:val="auto"/>
        </w:rPr>
      </w:pPr>
    </w:p>
    <w:p>
      <w:pPr>
        <w:jc w:val="both"/>
        <w:ind w:firstLine="656"/>
        <w:spacing w:after="0" w:line="286" w:lineRule="auto"/>
        <w:tabs>
          <w:tab w:leader="none" w:pos="12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Supplements and Waivers</w:t>
      </w:r>
      <w:r>
        <w:rPr>
          <w:rFonts w:ascii="Times New Roman" w:cs="Times New Roman" w:eastAsia="Times New Roman" w:hAnsi="Times New Roman"/>
          <w:sz w:val="18"/>
          <w:szCs w:val="18"/>
          <w:color w:val="auto"/>
        </w:rPr>
        <w:t>. The Company and the Trustee may amend or supplement the Indenture or the Notes or waive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provision of the Indenture or the Notes in the manner, and subject to the terms, set forth in Section 7.05 and Article 8 of the Indenture.</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142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Personal Liability of Directors, Officers, Employees and Stockholders</w:t>
      </w:r>
      <w:r>
        <w:rPr>
          <w:rFonts w:ascii="Times New Roman" w:cs="Times New Roman" w:eastAsia="Times New Roman" w:hAnsi="Times New Roman"/>
          <w:sz w:val="18"/>
          <w:szCs w:val="18"/>
          <w:color w:val="auto"/>
        </w:rPr>
        <w:t>. No past, present or future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2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No Note will be valid until it is authenticated by the Trustee. A Note will be deemed to be duly authenticated only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authorized signatory of the Trustee (or a duly appointed authenticating agent) manually signs the certificate of authentication of such Note.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28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its assignee, such as TEN COM (tenants in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ENT (tenants by the entireties), JT TEN (joint tenants with right of survivorship and not as tenants in common), CUST (custodian), and U/G/M/A (Uniform Gift to Minors Act).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3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NOTE, AND ANY CLAIM, CONTROVERSY OR DISPUTE ARISING UNDER OR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WILL BE GOVERNED BY AND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To request a copy of the Indenture, which the Company will provide to any Holder at no charge, please send a written request to the following address:</w:t>
      </w:r>
    </w:p>
    <w:p>
      <w:pPr>
        <w:sectPr>
          <w:pgSz w:w="11900" w:h="16838" w:orient="portrait"/>
          <w:cols w:equalWidth="0" w:num="1">
            <w:col w:w="10880"/>
          </w:cols>
          <w:pgMar w:left="320" w:top="121" w:right="699" w:bottom="1440" w:gutter="0" w:footer="0" w:header="0"/>
        </w:sect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410 N. Scottsdale Road, Suite 1600</w:t>
      </w:r>
    </w:p>
    <w:p>
      <w:pPr>
        <w:spacing w:after="0" w:line="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Tempe, AZ 85288</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SCHEDULE OF EXCHANGES OF INTERESTS IN THE GLOBAL NOTE</w:t>
      </w:r>
      <w:r>
        <w:rPr>
          <w:rFonts w:ascii="Times New Roman" w:cs="Times New Roman" w:eastAsia="Times New Roman" w:hAnsi="Times New Roman"/>
          <w:sz w:val="29"/>
          <w:szCs w:val="29"/>
          <w:color w:val="auto"/>
          <w:vertAlign w:val="superscript"/>
        </w:rPr>
        <w:t>*</w:t>
      </w:r>
    </w:p>
    <w:p>
      <w:pPr>
        <w:spacing w:after="0" w:line="10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INITIAL PRINCIPAL AMOUNT OF THIS GLOBAL NOTE: $[___]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8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After Such Increase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45"/>
        </w:trPr>
        <w:tc>
          <w:tcPr>
            <w:tcW w:w="282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w:t>
            </w:r>
          </w:p>
        </w:tc>
      </w:tr>
      <w:tr>
        <w:trPr>
          <w:trHeight w:val="223"/>
        </w:trPr>
        <w:tc>
          <w:tcPr>
            <w:tcW w:w="22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Insert for Global Notes only.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by executing and delivering this Conversion Notice, the undersigned Holder of the Note identified below directs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convert (check one):</w:t>
      </w:r>
    </w:p>
    <w:p>
      <w:pPr>
        <w:spacing w:after="0" w:line="207"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principal amount of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and Certificate No.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26035</wp:posOffset>
            </wp:positionV>
            <wp:extent cx="44145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300355</wp:posOffset>
            </wp:positionV>
            <wp:extent cx="46202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6202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-127635</wp:posOffset>
            </wp:positionV>
            <wp:extent cx="44145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145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Must be an Authorized Denomination.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FUNDAMENTAL CHANGE REPURCHASE NOTICE</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7.000% Convertible Senior Notes due 2030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62"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principal amount of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and Certificate No.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Fundamental Change Repurchase Price will be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26035</wp:posOffset>
            </wp:positionV>
            <wp:extent cx="44145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300355</wp:posOffset>
            </wp:positionV>
            <wp:extent cx="46202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202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-127635</wp:posOffset>
            </wp:positionV>
            <wp:extent cx="44145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4145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Must be an Authorized Denomination.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OPTIONAL REPURCHASE NOTICE</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7.000% Convertible Senior Notes due 2030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Optional Repurchase Notice, the undersigned Holder of the Note identified below is exercising its Optional Repurchase Right with respect to (check one):</w:t>
      </w:r>
    </w:p>
    <w:p>
      <w:pPr>
        <w:spacing w:after="0" w:line="162"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principal amount of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and Certificate No.</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Optional Repurchase Price will be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26035</wp:posOffset>
            </wp:positionV>
            <wp:extent cx="44145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300355</wp:posOffset>
            </wp:positionV>
            <wp:extent cx="46202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202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-127635</wp:posOffset>
            </wp:positionV>
            <wp:extent cx="44145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145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Must be an Authorized Denomination.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7.000%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Notes identified below assigns (check one):</w:t>
      </w:r>
    </w:p>
    <w:p>
      <w:pPr>
        <w:spacing w:after="0" w:line="225" w:lineRule="exact"/>
        <w:rPr>
          <w:sz w:val="20"/>
          <w:szCs w:val="20"/>
          <w:color w:val="auto"/>
        </w:rPr>
      </w:pPr>
    </w:p>
    <w:p>
      <w:pPr>
        <w:ind w:left="340" w:hanging="332"/>
        <w:spacing w:after="0"/>
        <w:tabs>
          <w:tab w:leader="none" w:pos="340" w:val="left"/>
        </w:tabs>
        <w:numPr>
          <w:ilvl w:val="0"/>
          <w:numId w:val="1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40" w:type="dxa"/>
            <w:vAlign w:val="bottom"/>
            <w:tcBorders>
              <w:bottom w:val="single" w:sz="8" w:color="auto"/>
            </w:tcBorders>
          </w:tcPr>
          <w:p>
            <w:pPr>
              <w:spacing w:after="0"/>
              <w:rPr>
                <w:sz w:val="24"/>
                <w:szCs w:val="24"/>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2"/>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Notes identified by CUSIP No.</w:t>
            </w:r>
          </w:p>
        </w:tc>
        <w:tc>
          <w:tcPr>
            <w:tcW w:w="940" w:type="dxa"/>
            <w:vAlign w:val="bottom"/>
            <w:tcBorders>
              <w:bottom w:val="single" w:sz="8" w:color="auto"/>
            </w:tcBorders>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and Certificate No.</w:t>
            </w:r>
          </w:p>
        </w:tc>
        <w:tc>
          <w:tcPr>
            <w:tcW w:w="94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w w:val="98"/>
              </w:rPr>
              <w:t>, and all rights thereunder, to:</w:t>
            </w:r>
          </w:p>
        </w:tc>
      </w:tr>
    </w:tbl>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26035</wp:posOffset>
            </wp:positionV>
            <wp:extent cx="482600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26000" cy="17145"/>
                    </a:xfrm>
                    <a:prstGeom prst="rect">
                      <a:avLst/>
                    </a:prstGeom>
                    <a:noFill/>
                  </pic:spPr>
                </pic:pic>
              </a:graphicData>
            </a:graphic>
          </wp:anchor>
        </w:drawing>
      </w:r>
    </w:p>
    <w:p>
      <w:pPr>
        <w:spacing w:after="0" w:line="2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26035</wp:posOffset>
            </wp:positionV>
            <wp:extent cx="482600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26000" cy="17145"/>
                    </a:xfrm>
                    <a:prstGeom prst="rect">
                      <a:avLst/>
                    </a:prstGeom>
                    <a:noFill/>
                  </pic:spPr>
                </pic:pic>
              </a:graphicData>
            </a:graphic>
          </wp:anchor>
        </w:drawing>
      </w:r>
    </w:p>
    <w:p>
      <w:pPr>
        <w:spacing w:after="0" w:line="2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Social security or 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26035</wp:posOffset>
            </wp:positionV>
            <wp:extent cx="482600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26000" cy="17145"/>
                    </a:xfrm>
                    <a:prstGeom prst="rect">
                      <a:avLst/>
                    </a:prstGeom>
                    <a:noFill/>
                  </pic:spPr>
                </pic:pic>
              </a:graphicData>
            </a:graphic>
          </wp:anchor>
        </w:drawing>
      </w:r>
    </w:p>
    <w:p>
      <w:pPr>
        <w:spacing w:after="0" w:line="2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26035</wp:posOffset>
            </wp:positionV>
            <wp:extent cx="482600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2600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26035</wp:posOffset>
            </wp:positionV>
            <wp:extent cx="44145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300355</wp:posOffset>
            </wp:positionV>
            <wp:extent cx="46202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202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7"/>
          <w:szCs w:val="17"/>
          <w:color w:val="auto"/>
        </w:rPr>
        <w:t>Participant in a Recognized Signature</w:t>
      </w:r>
    </w:p>
    <w:p>
      <w:pPr>
        <w:spacing w:after="0" w:line="39"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-127635</wp:posOffset>
            </wp:positionV>
            <wp:extent cx="44145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145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Must be an Authorized Denomination.</w:t>
      </w:r>
    </w:p>
    <w:p>
      <w:pPr>
        <w:spacing w:after="0" w:line="200" w:lineRule="exact"/>
        <w:rPr>
          <w:sz w:val="20"/>
          <w:szCs w:val="20"/>
          <w:color w:val="auto"/>
        </w:rPr>
      </w:pPr>
    </w:p>
    <w:p>
      <w:pPr>
        <w:spacing w:after="0" w:line="2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184" w:lineRule="exact"/>
        <w:rPr>
          <w:sz w:val="20"/>
          <w:szCs w:val="20"/>
          <w:color w:val="auto"/>
        </w:rPr>
      </w:pPr>
    </w:p>
    <w:p>
      <w:pPr>
        <w:ind w:left="340" w:hanging="287"/>
        <w:spacing w:after="0" w:line="207" w:lineRule="exact"/>
        <w:tabs>
          <w:tab w:leader="none" w:pos="340" w:val="left"/>
        </w:tabs>
        <w:numPr>
          <w:ilvl w:val="1"/>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to the Company or a Subsidiary of the Company.</w:t>
      </w:r>
    </w:p>
    <w:p>
      <w:pPr>
        <w:spacing w:after="0" w:line="225" w:lineRule="exact"/>
        <w:rPr>
          <w:rFonts w:ascii="Times New Roman" w:cs="Times New Roman" w:eastAsia="Times New Roman" w:hAnsi="Times New Roman"/>
          <w:sz w:val="18"/>
          <w:szCs w:val="18"/>
          <w:color w:val="auto"/>
        </w:rPr>
      </w:pPr>
    </w:p>
    <w:p>
      <w:pPr>
        <w:ind w:left="820" w:hanging="812"/>
        <w:spacing w:after="0" w:line="245" w:lineRule="exact"/>
        <w:tabs>
          <w:tab w:leader="none" w:pos="334" w:val="left"/>
        </w:tabs>
        <w:numPr>
          <w:ilvl w:val="0"/>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 registration statement that is effective under the Securities Act at the time of the Transfer.</w:t>
      </w:r>
    </w:p>
    <w:p>
      <w:pPr>
        <w:spacing w:after="0" w:line="158" w:lineRule="exact"/>
        <w:rPr>
          <w:rFonts w:ascii="Times New Roman" w:cs="Times New Roman" w:eastAsia="Times New Roman" w:hAnsi="Times New Roman"/>
          <w:sz w:val="18"/>
          <w:szCs w:val="18"/>
          <w:color w:val="auto"/>
        </w:rPr>
      </w:pPr>
    </w:p>
    <w:p>
      <w:pPr>
        <w:ind w:left="820" w:hanging="812"/>
        <w:spacing w:after="0" w:line="228" w:lineRule="exact"/>
        <w:tabs>
          <w:tab w:leader="none" w:pos="334" w:val="left"/>
        </w:tabs>
        <w:numPr>
          <w:ilvl w:val="0"/>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Times New Roman" w:cs="Times New Roman" w:eastAsia="Times New Roman" w:hAnsi="Times New Roman"/>
          <w:sz w:val="18"/>
          <w:szCs w:val="18"/>
          <w:b w:val="1"/>
          <w:bCs w:val="1"/>
          <w:color w:val="auto"/>
        </w:rPr>
        <w:t>If this item is checked, then the transferee must complete and execute the acknowledgment contained on the next page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820" w:hanging="767"/>
        <w:spacing w:after="0" w:line="245" w:lineRule="exact"/>
        <w:tabs>
          <w:tab w:leader="none" w:pos="334" w:val="left"/>
        </w:tabs>
        <w:numPr>
          <w:ilvl w:val="1"/>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32143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28543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8543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2143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616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right="616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8543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TRANSFEREE ACKNOWLEDGMENT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3566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(Name of Transferee)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RESTRICTED NOTE LEGEND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80" w:lineRule="exact"/>
        <w:rPr>
          <w:sz w:val="20"/>
          <w:szCs w:val="20"/>
          <w:color w:val="auto"/>
        </w:rPr>
      </w:pPr>
    </w:p>
    <w:p>
      <w:pPr>
        <w:jc w:val="both"/>
        <w:ind w:left="660" w:hanging="652"/>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THE COMPANY THAT IT WILL NOT OFFER, SELL OR OTHERWISE TRANSFER THIS NOTE OR ANY BENEFICIAL INTEREST HEREIN, EXCEPT ONLY: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IS EFFECTIVE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GLOBAL NOTE LEGEND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NON-AFFILIATE LEGEND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MAY PURCHASE OR OTHERWISE ACQUIRE THIS NOTE OR ANY BENEFICIAL INTEREST HEREIN.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B-4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OID LEGEND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INFORMATION IS SUPPLIED SOLELY FOR U.S. FEDERAL INCOME TAX PURPOSES. THIS NOTE WAS ISSUED WITH “ORIGINAL ISSUE DISCOUNT” (“OID”) WITHIN THE MEANING OF SECTION 1273 OF THE INTERNAL REVENUE CODE OF 1986, AS AMENDED. HOLDERS MAY OBTAIN INFORMATION REGARDING THE AMOUNT OF OID, THE ISSUE PRICE, THE ISSUE DATE, AND THE YIELD TO MATURITY RELATING TO THE NOTE BY CONTACTING OPENDOOR TECHNOLOGIES INC., 410 N SCOTTSDALE ROAD, SUITE 1600, TEMPE, AZ 85288, ATTENTION: CHIEF FINANCIAL OFFICER.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Announces Closing of Convertible Notes Exchange and New Convertible Notes Issuance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SAN FRANCISCO, May 19, 2025 (GLOBE NEWSWIRE) -- Opendoor Technologies Inc. (Nasdaq: OPEN) (the “Company”), a leading e-commerce platform for residential real estate transactions, today announced the completion of its negotiated exchange and subscription agreements (the “Exchange and Subscription Agreements”) with certain holders of the Company’s 0.25% Convertible Senior Notes due 2026 (the “2026 Notes”) and new investors, pursuant to which the Company issued $325.0 million aggregate principal amount of its 7.000% Convertible Senior Notes due 2030 (the “2030 Notes”) consisting of (a) approximately $245.8 million principal amount of 2030 Notes issued in exchange for approximately $245.8 million principal amount of 2026 Notes (the “Exchange Transactions”), and (b) approximately $79.2 million principal amount of 2030 Notes for cash (the “Subscription Transactions” and, together with the Exchange Transactions, the “Transactions”), in each case, pursuant to exemptions from registration under the Securities Act of 1933, as amended (the “Securities Act”), and the rules and regulations thereunder.</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pleased to have achieved several key objectives for the Company and our stockholders through this transaction,” said Selim Freiha, CFO of Opendoor. “We successfully exchanged the majority of our outstanding 2026 Notes for 2030 Notes and opportunistically added $75.3 million in cash to our balance sheet—reflecting strong support from our investors. These steps position us to stay focused on our mission to reinvent the U.S. residential real estate industry—making it simpler, more convenient, and more customer-centric.”</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2030 Notes are senior, unsecured obligations of the Company and accrue interest at a rate of 7.000% per annum. The Company expects that the gross proceeds from the Subscription Transactions will be approximately $75.3 million, excluding offering fees and transaction expenses, and intends to use the net proceeds for general corporate purposes.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2030 Notes will mature on May 15, 2030, unless earlier converted, redeemed or repurchased. Before November 15, 2029, the 2030 Notes are convertible at the option of holders only upon satisfaction of certain conditions and during certain periods, and on such day and thereafter, at any time at their election until the close of business on the second scheduled trading day immediately before the maturity date. The Company will settle conversions by paying cash up to the aggregate principal amount of the 2030 Notes to be converted and paying or delivering, as applicable, cash, shares of its common stock or a combination of cash and shares of its common stock, at its election, in respect of the remainder, if any, of its conversion obligation in excess of the aggregate principal amount of the 2030 Notes being converted based on the applicable conversion rate.</w:t>
      </w:r>
    </w:p>
    <w:p>
      <w:pPr>
        <w:spacing w:after="0" w:line="187"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2030 Notes have an initial conversion rate of 637.1050 shares of common stock per $1,000 principal amount of 2030 Notes (which is subject to adjustment in certain circumstances). This is equivalent to an initial conversion price of approximately $1.57 per share. The initial conversion price represents a premium of approximately 80% over the last reported sale price of $0.872 per share of the Company’s common stock on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7" w:name="page118"/>
    <w:bookmarkEnd w:id="117"/>
    <w:p>
      <w:pPr>
        <w:ind w:right="100"/>
        <w:spacing w:after="0" w:line="272" w:lineRule="auto"/>
        <w:rPr>
          <w:sz w:val="20"/>
          <w:szCs w:val="20"/>
          <w:color w:val="auto"/>
        </w:rPr>
      </w:pPr>
      <w:r>
        <w:rPr>
          <w:rFonts w:ascii="Times New Roman" w:cs="Times New Roman" w:eastAsia="Times New Roman" w:hAnsi="Times New Roman"/>
          <w:sz w:val="17"/>
          <w:szCs w:val="17"/>
          <w:color w:val="auto"/>
        </w:rPr>
        <w:t>Holders of the 2030 Notes have the right to require the Company to repurchase for cash all or a portion of their 2030 Notes at 100% of their principal amount, plus any accrued and unpaid interest, upon the occurrence of a fundamental change (as defined in the indenture relating to the 2030 Notes). The Company is also required to increase the conversion rate for holders who convert their 2030 Notes in connection with certain fundamental changes or a redemption notice, as the case may be, prior to the maturity date. The 2030 Notes are redeemable, in whole or in part (subject to certain limitations), for cash at the Company’s option at any time, and from time to time, on or after May 22, 2028, but only if the last reported sale price per share of the common stock exceeds 130% of the conversion price then in effect for a specified period of time. Unless the Company has previously called all outstanding 2030 Notes for redemption, holders of the 2030 Notes may require the Company to repurchase their 2030 Notes on May 15, 2028, at a cash repurchase price equal to the principal amount of the 2030 Notes to be repurchased, plus accrued and unpaid interest, if any, to, but excluding, the repurchase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Wood Capital Advisors LLC served as advisor to the Company in the Transactions.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terms of the Transactions, please see the Company’s Current Report on Form 8-K, filed with the Securities and Exchange Commission on May 19,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Opendoor</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Opendoor is a leading e-commerce platform for residential real estate transactions whose mission is to power life’s progress, one move at a time. Since 2014, Opendoor has provided people across the U.S. with a simple and certain way to sell and buy a home. Opendoor is a team of problem solvers, innovators, and operators who are leading the future of real estate. Opendoor currently operates in markets nationwide.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www.opendoor.com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Section 27A the Private Securities Litigation Reform Act of 1995, as amended. All statements contained in this press release that do not relate to matters of historical fact should be considered forward-looking, including statements regarding future financial results including driving toward sustainable positive cash flow; the future health and status of the Company’s financial condition; and its business strategy and mission.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press release include but are not limited to: risks associated with the Company’s indebtedness and capital structure;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impact demand for the Company’s products and services, lower the Company’s profitability or reduce its access to future financings; actual or anticipated fluctuations in the Company’s financial condition and results of operations; the Company’s ability to access sources of capital, including debt financing and securitization funding to finance its real estate inventories and other sources of capital to finance operations and growth. The foregoing list of factors is not exhaustive. You should carefully consider the foregoing factors and the other risks and uncertainties described under the caption “Risk Factors” in the Company’s most recent Annual Report on Form 10-K filed with the Securities and Exchange Commission (the “SEC”) on February 27, 2025, as updated by its periodic reports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investors@opendoor.com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press@opendoor.com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upperLetter"/>
      <w:start w:val="1"/>
    </w:lvl>
    <w:lvl w:ilvl="1">
      <w:lvlJc w:val="left"/>
      <w:lvlText w:val="-"/>
      <w:numFmt w:val="bullet"/>
      <w:start w:val="1"/>
    </w:lvl>
  </w:abstractNum>
  <w:abstractNum w:abstractNumId="2">
    <w:nsid w:val="5DC79EA8"/>
    <w:multiLevelType w:val="hybridMultilevel"/>
    <w:lvl w:ilvl="0">
      <w:lvlJc w:val="left"/>
      <w:lvlText w:val="(%1)"/>
      <w:numFmt w:val="upperLetter"/>
      <w:start w:val="4"/>
    </w:lvl>
  </w:abstractNum>
  <w:abstractNum w:abstractNumId="3">
    <w:nsid w:val="540A471C"/>
    <w:multiLevelType w:val="hybridMultilevel"/>
    <w:lvl w:ilvl="0">
      <w:lvlJc w:val="left"/>
      <w:lvlText w:val="(%1)"/>
      <w:numFmt w:val="upperLetter"/>
      <w:start w:val="4"/>
    </w:lvl>
  </w:abstractNum>
  <w:abstractNum w:abstractNumId="4">
    <w:nsid w:val="7BD3EE7B"/>
    <w:multiLevelType w:val="hybridMultilevel"/>
    <w:lvl w:ilvl="0">
      <w:lvlJc w:val="left"/>
      <w:lvlText w:val="(%1)"/>
      <w:numFmt w:val="upperLetter"/>
      <w:start w:val="1"/>
    </w:lvl>
  </w:abstractNum>
  <w:abstractNum w:abstractNumId="5">
    <w:nsid w:val="51D9C564"/>
    <w:multiLevelType w:val="hybridMultilevel"/>
    <w:lvl w:ilvl="0">
      <w:lvlJc w:val="left"/>
      <w:lvlText w:val="(%1)"/>
      <w:numFmt w:val="upperLetter"/>
      <w:start w:val="1"/>
    </w:lvl>
  </w:abstractNum>
  <w:abstractNum w:abstractNumId="6">
    <w:nsid w:val="613EFDC5"/>
    <w:multiLevelType w:val="hybridMultilevel"/>
    <w:lvl w:ilvl="0">
      <w:lvlJc w:val="left"/>
      <w:lvlText w:val="(%1)"/>
      <w:numFmt w:val="upperLetter"/>
      <w:start w:val="1"/>
    </w:lvl>
  </w:abstractNum>
  <w:abstractNum w:abstractNumId="7">
    <w:nsid w:val="BF72B1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8">
    <w:nsid w:val="11447B73"/>
    <w:multiLevelType w:val="hybridMultilevel"/>
    <w:lvl w:ilvl="0">
      <w:lvlJc w:val="left"/>
      <w:lvlText w:val="(%1)"/>
      <w:numFmt w:val="upperLetter"/>
      <w:start w:val="1"/>
    </w:lvl>
  </w:abstractNum>
  <w:abstractNum w:abstractNumId="9">
    <w:nsid w:val="42963E5A"/>
    <w:multiLevelType w:val="hybridMultilevel"/>
    <w:lvl w:ilvl="0">
      <w:lvlJc w:val="left"/>
      <w:lvlText w:val="(%1)"/>
      <w:numFmt w:val="upperLetter"/>
      <w:start w:val="1"/>
    </w:lvl>
    <w:lvl w:ilvl="1">
      <w:lvlJc w:val="left"/>
      <w:lvlText w:val="-"/>
      <w:numFmt w:val="bullet"/>
      <w:start w:val="1"/>
    </w:lvl>
  </w:abstractNum>
  <w:abstractNum w:abstractNumId="10">
    <w:nsid w:val="A0382C5"/>
    <w:multiLevelType w:val="hybridMultilevel"/>
    <w:lvl w:ilvl="0">
      <w:lvlJc w:val="left"/>
      <w:lvlText w:val="(%1)"/>
      <w:numFmt w:val="upperLetter"/>
      <w:start w:val="1"/>
    </w:lvl>
    <w:lvl w:ilvl="1">
      <w:lvlJc w:val="left"/>
      <w:lvlText w:val="-"/>
      <w:numFmt w:val="bullet"/>
      <w:start w:val="1"/>
    </w:lvl>
  </w:abstractNum>
  <w:abstractNum w:abstractNumId="11">
    <w:nsid w:val="8F2B15E"/>
    <w:multiLevelType w:val="hybridMultilevel"/>
    <w:lvl w:ilvl="0">
      <w:lvlJc w:val="left"/>
      <w:lvlText w:val="(%1)"/>
      <w:numFmt w:val="upperLetter"/>
      <w:start w:val="1"/>
    </w:lvl>
    <w:lvl w:ilvl="1">
      <w:lvlJc w:val="left"/>
      <w:lvlText w:val="-"/>
      <w:numFmt w:val="bullet"/>
      <w:start w:val="1"/>
    </w:lvl>
  </w:abstractNum>
  <w:abstractNum w:abstractNumId="12">
    <w:nsid w:val="1A32234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3">
    <w:nsid w:val="3B0FD379"/>
    <w:multiLevelType w:val="hybridMultilevel"/>
    <w:lvl w:ilvl="0">
      <w:lvlJc w:val="left"/>
      <w:lvlText w:val="(%1)"/>
      <w:numFmt w:val="upperLetter"/>
      <w:start w:val="6"/>
    </w:lvl>
    <w:lvl w:ilvl="1">
      <w:lvlJc w:val="left"/>
      <w:lvlText w:val="(%2)"/>
      <w:numFmt w:val="lowerRoman"/>
      <w:start w:val="1"/>
    </w:lvl>
  </w:abstractNum>
  <w:abstractNum w:abstractNumId="14">
    <w:nsid w:val="68EB2F63"/>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5">
    <w:nsid w:val="4962813B"/>
    <w:multiLevelType w:val="hybridMultilevel"/>
    <w:lvl w:ilvl="0">
      <w:lvlJc w:val="left"/>
      <w:lvlText w:val="%1"/>
      <w:numFmt w:val="upperLetter"/>
      <w:start w:val="1"/>
    </w:lvl>
    <w:lvl w:ilvl="1">
      <w:lvlJc w:val="left"/>
      <w:lvlText w:val="(%2)"/>
      <w:numFmt w:val="lowerRoman"/>
      <w:start w:val="5"/>
    </w:lvl>
    <w:lvl w:ilvl="2">
      <w:lvlJc w:val="left"/>
      <w:lvlText w:val="%3"/>
      <w:numFmt w:val="decimal"/>
      <w:start w:val="1"/>
    </w:lvl>
    <w:lvl w:ilvl="3">
      <w:lvlJc w:val="left"/>
      <w:lvlText w:val="-"/>
      <w:numFmt w:val="bullet"/>
      <w:start w:val="1"/>
    </w:lvl>
  </w:abstractNum>
  <w:abstractNum w:abstractNumId="16">
    <w:nsid w:val="60B6DF70"/>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7">
    <w:nsid w:val="6A5EE64"/>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18">
    <w:nsid w:val="14330624"/>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9">
    <w:nsid w:val="7FFFCA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0">
    <w:nsid w:val="1A27709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1">
    <w:nsid w:val="71EA110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22">
    <w:nsid w:val="100F59D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lvl w:ilvl="3">
      <w:lvlJc w:val="left"/>
      <w:lvlText w:val="%4"/>
      <w:numFmt w:val="lowerLetter"/>
      <w:start w:val="1"/>
    </w:lvl>
  </w:abstractNum>
  <w:abstractNum w:abstractNumId="23">
    <w:nsid w:val="7FB7E0AA"/>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4">
    <w:nsid w:val="6EB5BD4"/>
    <w:multiLevelType w:val="hybridMultilevel"/>
    <w:lvl w:ilvl="0">
      <w:lvlJc w:val="left"/>
      <w:lvlText w:val="(%1)"/>
      <w:numFmt w:val="upperLetter"/>
      <w:start w:val="5"/>
    </w:lvl>
  </w:abstractNum>
  <w:abstractNum w:abstractNumId="25">
    <w:nsid w:val="6F6DD9AC"/>
    <w:multiLevelType w:val="hybridMultilevel"/>
    <w:lvl w:ilvl="0">
      <w:lvlJc w:val="left"/>
      <w:lvlText w:val="(%1)"/>
      <w:numFmt w:val="upperLetter"/>
      <w:start w:val="1"/>
    </w:lvl>
    <w:lvl w:ilvl="1">
      <w:lvlJc w:val="left"/>
      <w:lvlText w:val="-"/>
      <w:numFmt w:val="bullet"/>
      <w:start w:val="1"/>
    </w:lvl>
  </w:abstractNum>
  <w:abstractNum w:abstractNumId="26">
    <w:nsid w:val="94211F2"/>
    <w:multiLevelType w:val="hybridMultilevel"/>
    <w:lvl w:ilvl="0">
      <w:lvlJc w:val="left"/>
      <w:lvlText w:val="(%1)"/>
      <w:numFmt w:val="lowerRoman"/>
      <w:start w:val="1"/>
    </w:lvl>
  </w:abstractNum>
  <w:abstractNum w:abstractNumId="27">
    <w:nsid w:val="885E1B"/>
    <w:multiLevelType w:val="hybridMultilevel"/>
    <w:lvl w:ilvl="0">
      <w:lvlJc w:val="left"/>
      <w:lvlText w:val="(%1)"/>
      <w:numFmt w:val="upperLetter"/>
      <w:start w:val="1"/>
    </w:lvl>
    <w:lvl w:ilvl="1">
      <w:lvlJc w:val="left"/>
      <w:lvlText w:val="-"/>
      <w:numFmt w:val="bullet"/>
      <w:start w:val="1"/>
    </w:lvl>
  </w:abstractNum>
  <w:abstractNum w:abstractNumId="28">
    <w:nsid w:val="76272110"/>
    <w:multiLevelType w:val="hybridMultilevel"/>
    <w:lvl w:ilvl="0">
      <w:lvlJc w:val="left"/>
      <w:lvlText w:val="(%1)"/>
      <w:numFmt w:val="upperLetter"/>
      <w:start w:val="1"/>
    </w:lvl>
  </w:abstractNum>
  <w:abstractNum w:abstractNumId="29">
    <w:nsid w:val="4C04A8AF"/>
    <w:multiLevelType w:val="hybridMultilevel"/>
    <w:lvl w:ilvl="0">
      <w:lvlJc w:val="left"/>
      <w:lvlText w:val="(%1)"/>
      <w:numFmt w:val="upperLetter"/>
      <w:start w:val="1"/>
    </w:lvl>
    <w:lvl w:ilvl="1">
      <w:lvlJc w:val="left"/>
      <w:lvlText w:val="-"/>
      <w:numFmt w:val="bullet"/>
      <w:start w:val="1"/>
    </w:lvl>
  </w:abstractNum>
  <w:abstractNum w:abstractNumId="30">
    <w:nsid w:val="1716703B"/>
    <w:multiLevelType w:val="hybridMultilevel"/>
    <w:lvl w:ilvl="0">
      <w:lvlJc w:val="left"/>
      <w:lvlText w:val="(%1)"/>
      <w:numFmt w:val="upperLetter"/>
      <w:start w:val="2"/>
    </w:lvl>
  </w:abstractNum>
  <w:abstractNum w:abstractNumId="31">
    <w:nsid w:val="14E17E33"/>
    <w:multiLevelType w:val="hybridMultilevel"/>
    <w:lvl w:ilvl="0">
      <w:lvlJc w:val="left"/>
      <w:lvlText w:val="(%1)"/>
      <w:numFmt w:val="upperLetter"/>
      <w:start w:val="1"/>
    </w:lvl>
  </w:abstractNum>
  <w:abstractNum w:abstractNumId="32">
    <w:nsid w:val="3222E7CD"/>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33">
    <w:nsid w:val="74DE0EE3"/>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4">
    <w:nsid w:val="68EBC550"/>
    <w:multiLevelType w:val="hybridMultilevel"/>
    <w:lvl w:ilvl="0">
      <w:lvlJc w:val="left"/>
      <w:lvlText w:val="(%1)"/>
      <w:numFmt w:val="upperLetter"/>
      <w:start w:val="3"/>
    </w:lvl>
  </w:abstractNum>
  <w:abstractNum w:abstractNumId="35">
    <w:nsid w:val="2DF6D648"/>
    <w:multiLevelType w:val="hybridMultilevel"/>
    <w:lvl w:ilvl="0">
      <w:lvlJc w:val="left"/>
      <w:lvlText w:val="(%1)"/>
      <w:numFmt w:val="upperLetter"/>
      <w:start w:val="1"/>
    </w:lvl>
  </w:abstractNum>
  <w:abstractNum w:abstractNumId="36">
    <w:nsid w:val="46B7D447"/>
    <w:multiLevelType w:val="hybridMultilevel"/>
    <w:lvl w:ilvl="0">
      <w:lvlJc w:val="left"/>
      <w:lvlText w:val="(%1)"/>
      <w:numFmt w:val="upperLetter"/>
      <w:start w:val="1"/>
    </w:lvl>
    <w:lvl w:ilvl="1">
      <w:lvlJc w:val="left"/>
      <w:lvlText w:val="-"/>
      <w:numFmt w:val="bullet"/>
      <w:start w:val="1"/>
    </w:lvl>
  </w:abstractNum>
  <w:abstractNum w:abstractNumId="37">
    <w:nsid w:val="4A2AC315"/>
    <w:multiLevelType w:val="hybridMultilevel"/>
    <w:lvl w:ilvl="0">
      <w:lvlJc w:val="left"/>
      <w:lvlText w:val="(%1)"/>
      <w:numFmt w:val="upperLetter"/>
      <w:start w:val="4"/>
    </w:lvl>
  </w:abstractNum>
  <w:abstractNum w:abstractNumId="38">
    <w:nsid w:val="39EE015C"/>
    <w:multiLevelType w:val="hybridMultilevel"/>
    <w:lvl w:ilvl="0">
      <w:lvlJc w:val="left"/>
      <w:lvlText w:val="(%1)"/>
      <w:numFmt w:val="lowerRoman"/>
      <w:start w:val="1"/>
    </w:lvl>
    <w:lvl w:ilvl="1">
      <w:lvlJc w:val="left"/>
      <w:lvlText w:val="-"/>
      <w:numFmt w:val="bullet"/>
      <w:start w:val="1"/>
    </w:lvl>
  </w:abstractNum>
  <w:abstractNum w:abstractNumId="39">
    <w:nsid w:val="57FC4FBB"/>
    <w:multiLevelType w:val="hybridMultilevel"/>
    <w:lvl w:ilvl="0">
      <w:lvlJc w:val="left"/>
      <w:lvlText w:val="(%1)"/>
      <w:numFmt w:val="lowerRoman"/>
      <w:start w:val="9"/>
    </w:lvl>
  </w:abstractNum>
  <w:abstractNum w:abstractNumId="40">
    <w:nsid w:val="CC1016F"/>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1">
    <w:nsid w:val="43F18422"/>
    <w:multiLevelType w:val="hybridMultilevel"/>
    <w:lvl w:ilvl="0">
      <w:lvlJc w:val="left"/>
      <w:lvlText w:val="(%1)"/>
      <w:numFmt w:val="lowerRoman"/>
      <w:start w:val="2"/>
    </w:lvl>
    <w:lvl w:ilvl="1">
      <w:lvlJc w:val="left"/>
      <w:lvlText w:val="(%2)"/>
      <w:numFmt w:val="decimal"/>
      <w:start w:val="1"/>
    </w:lvl>
  </w:abstractNum>
  <w:abstractNum w:abstractNumId="42">
    <w:nsid w:val="60EF0119"/>
    <w:multiLevelType w:val="hybridMultilevel"/>
    <w:lvl w:ilvl="0">
      <w:lvlJc w:val="left"/>
      <w:lvlText w:val="(%1)"/>
      <w:numFmt w:val="lowerRoman"/>
      <w:start w:val="3"/>
    </w:lvl>
    <w:lvl w:ilvl="1">
      <w:lvlJc w:val="left"/>
      <w:lvlText w:val="(%2)"/>
      <w:numFmt w:val="decimal"/>
      <w:start w:val="1"/>
    </w:lvl>
  </w:abstractNum>
  <w:abstractNum w:abstractNumId="43">
    <w:nsid w:val="26F324BA"/>
    <w:multiLevelType w:val="hybridMultilevel"/>
    <w:lvl w:ilvl="0">
      <w:lvlJc w:val="left"/>
      <w:lvlText w:val="(%1)"/>
      <w:numFmt w:val="upperLetter"/>
      <w:start w:val="7"/>
    </w:lvl>
    <w:lvl w:ilvl="1">
      <w:lvlJc w:val="left"/>
      <w:lvlText w:val="-"/>
      <w:numFmt w:val="bullet"/>
      <w:start w:val="1"/>
    </w:lvl>
  </w:abstractNum>
  <w:abstractNum w:abstractNumId="44">
    <w:nsid w:val="7F01579B"/>
    <w:multiLevelType w:val="hybridMultilevel"/>
    <w:lvl w:ilvl="0">
      <w:lvlJc w:val="left"/>
      <w:lvlText w:val="(%1)"/>
      <w:numFmt w:val="upperLetter"/>
      <w:start w:val="9"/>
    </w:lvl>
  </w:abstractNum>
  <w:abstractNum w:abstractNumId="45">
    <w:nsid w:val="49DA307D"/>
    <w:multiLevelType w:val="hybridMultilevel"/>
    <w:lvl w:ilvl="0">
      <w:lvlJc w:val="left"/>
      <w:lvlText w:val="(%1)"/>
      <w:numFmt w:val="upperLetter"/>
      <w:start w:val="1"/>
    </w:lvl>
    <w:lvl w:ilvl="1">
      <w:lvlJc w:val="left"/>
      <w:lvlText w:val="-"/>
      <w:numFmt w:val="bullet"/>
      <w:start w:val="1"/>
    </w:lvl>
  </w:abstractNum>
  <w:abstractNum w:abstractNumId="46">
    <w:nsid w:val="7055A5F5"/>
    <w:multiLevelType w:val="hybridMultilevel"/>
    <w:lvl w:ilvl="0">
      <w:lvlJc w:val="left"/>
      <w:lvlText w:val="(%1)"/>
      <w:numFmt w:val="upperLetter"/>
      <w:start w:val="2"/>
    </w:lvl>
  </w:abstractNum>
  <w:abstractNum w:abstractNumId="47">
    <w:nsid w:val="5FB8370B"/>
    <w:multiLevelType w:val="hybridMultilevel"/>
    <w:lvl w:ilvl="0">
      <w:lvlJc w:val="left"/>
      <w:lvlText w:val="(%1)"/>
      <w:numFmt w:val="lowerRoman"/>
      <w:start w:val="1"/>
    </w:lvl>
    <w:lvl w:ilvl="1">
      <w:lvlJc w:val="left"/>
      <w:lvlText w:val="-"/>
      <w:numFmt w:val="bullet"/>
      <w:start w:val="1"/>
    </w:lvl>
  </w:abstractNum>
  <w:abstractNum w:abstractNumId="48">
    <w:nsid w:val="50801EE1"/>
    <w:multiLevelType w:val="hybridMultilevel"/>
    <w:lvl w:ilvl="0">
      <w:lvlJc w:val="left"/>
      <w:lvlText w:val="(%1)"/>
      <w:numFmt w:val="lowerRoman"/>
      <w:start w:val="5"/>
    </w:lvl>
  </w:abstractNum>
  <w:abstractNum w:abstractNumId="49">
    <w:nsid w:val="488AC1A"/>
    <w:multiLevelType w:val="hybridMultilevel"/>
    <w:lvl w:ilvl="0">
      <w:lvlJc w:val="left"/>
      <w:lvlText w:val="(%1)"/>
      <w:numFmt w:val="upperLetter"/>
      <w:start w:val="5"/>
    </w:lvl>
    <w:lvl w:ilvl="1">
      <w:lvlJc w:val="left"/>
      <w:lvlText w:val="(%2)"/>
      <w:numFmt w:val="lowerRoman"/>
      <w:start w:val="1"/>
    </w:lvl>
    <w:lvl w:ilvl="2">
      <w:lvlJc w:val="left"/>
      <w:lvlText w:val="(%3)"/>
      <w:numFmt w:val="decimal"/>
      <w:start w:val="1"/>
    </w:lvl>
  </w:abstractNum>
  <w:abstractNum w:abstractNumId="50">
    <w:nsid w:val="5FB8011C"/>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51">
    <w:nsid w:val="6AA78F7F"/>
    <w:multiLevelType w:val="hybridMultilevel"/>
    <w:lvl w:ilvl="0">
      <w:lvlJc w:val="left"/>
      <w:lvlText w:val="(%1)"/>
      <w:numFmt w:val="decimal"/>
      <w:start w:val="3"/>
    </w:lvl>
  </w:abstractNum>
  <w:abstractNum w:abstractNumId="52">
    <w:nsid w:val="7672BD23"/>
    <w:multiLevelType w:val="hybridMultilevel"/>
    <w:lvl w:ilvl="0">
      <w:lvlJc w:val="left"/>
      <w:lvlText w:val="(%1)"/>
      <w:numFmt w:val="lowerRoman"/>
      <w:start w:val="3"/>
    </w:lvl>
    <w:lvl w:ilvl="1">
      <w:lvlJc w:val="left"/>
      <w:lvlText w:val="(%2)"/>
      <w:numFmt w:val="decimal"/>
      <w:start w:val="1"/>
    </w:lvl>
  </w:abstractNum>
  <w:abstractNum w:abstractNumId="53">
    <w:nsid w:val="6FC75AF8"/>
    <w:multiLevelType w:val="hybridMultilevel"/>
    <w:lvl w:ilvl="0">
      <w:lvlJc w:val="left"/>
      <w:lvlText w:val="(%1)"/>
      <w:numFmt w:val="upperLetter"/>
      <w:start w:val="6"/>
    </w:lvl>
    <w:lvl w:ilvl="1">
      <w:lvlJc w:val="left"/>
      <w:lvlText w:val="-"/>
      <w:numFmt w:val="bullet"/>
      <w:start w:val="1"/>
    </w:lvl>
  </w:abstractNum>
  <w:abstractNum w:abstractNumId="54">
    <w:nsid w:val="6A5F7029"/>
    <w:multiLevelType w:val="hybridMultilevel"/>
    <w:lvl w:ilvl="0">
      <w:lvlJc w:val="left"/>
      <w:lvlText w:val="(%1)"/>
      <w:numFmt w:val="upperLetter"/>
      <w:start w:val="7"/>
    </w:lvl>
  </w:abstractNum>
  <w:abstractNum w:abstractNumId="55">
    <w:nsid w:val="7D5E18F8"/>
    <w:multiLevelType w:val="hybridMultilevel"/>
    <w:lvl w:ilvl="0">
      <w:lvlJc w:val="left"/>
      <w:lvlText w:val="%1"/>
      <w:numFmt w:val="lowerLetter"/>
      <w:start w:val="1"/>
    </w:lvl>
    <w:lvl w:ilvl="1">
      <w:lvlJc w:val="left"/>
      <w:lvlText w:val="(%2)"/>
      <w:numFmt w:val="upperLetter"/>
      <w:start w:val="1"/>
    </w:lvl>
    <w:lvl w:ilvl="2">
      <w:lvlJc w:val="left"/>
      <w:lvlText w:val="-"/>
      <w:numFmt w:val="bullet"/>
      <w:start w:val="1"/>
    </w:lvl>
  </w:abstractNum>
  <w:abstractNum w:abstractNumId="56">
    <w:nsid w:val="5F3534A4"/>
    <w:multiLevelType w:val="hybridMultilevel"/>
    <w:lvl w:ilvl="0">
      <w:lvlJc w:val="left"/>
      <w:lvlText w:val="(%1)"/>
      <w:numFmt w:val="lowerLetter"/>
      <w:start w:val="25"/>
    </w:lvl>
    <w:lvl w:ilvl="1">
      <w:lvlJc w:val="left"/>
      <w:lvlText w:val="(%2)"/>
      <w:numFmt w:val="upperLetter"/>
      <w:start w:val="3"/>
    </w:lvl>
    <w:lvl w:ilvl="2">
      <w:lvlJc w:val="left"/>
      <w:lvlText w:val="-"/>
      <w:numFmt w:val="bullet"/>
      <w:start w:val="1"/>
    </w:lvl>
  </w:abstractNum>
  <w:abstractNum w:abstractNumId="57">
    <w:nsid w:val="73A1821B"/>
    <w:multiLevelType w:val="hybridMultilevel"/>
    <w:lvl w:ilvl="0">
      <w:lvlJc w:val="left"/>
      <w:lvlText w:val="(%1)"/>
      <w:numFmt w:val="upperLetter"/>
      <w:start w:val="4"/>
    </w:lvl>
  </w:abstractNum>
  <w:abstractNum w:abstractNumId="58">
    <w:nsid w:val="7DE67713"/>
    <w:multiLevelType w:val="hybridMultilevel"/>
    <w:lvl w:ilvl="0">
      <w:lvlJc w:val="left"/>
      <w:lvlText w:val="(%1)"/>
      <w:numFmt w:val="lowerRoman"/>
      <w:start w:val="1"/>
    </w:lvl>
    <w:lvl w:ilvl="1">
      <w:lvlJc w:val="left"/>
      <w:lvlText w:val="-"/>
      <w:numFmt w:val="bullet"/>
      <w:start w:val="1"/>
    </w:lvl>
  </w:abstractNum>
  <w:abstractNum w:abstractNumId="59">
    <w:nsid w:val="555C55B5"/>
    <w:multiLevelType w:val="hybridMultilevel"/>
    <w:lvl w:ilvl="0">
      <w:lvlJc w:val="left"/>
      <w:lvlText w:val="(%1)"/>
      <w:numFmt w:val="lowerRoman"/>
      <w:start w:val="4"/>
    </w:lvl>
  </w:abstractNum>
  <w:abstractNum w:abstractNumId="60">
    <w:nsid w:val="3FA62ACA"/>
    <w:multiLevelType w:val="hybridMultilevel"/>
    <w:lvl w:ilvl="0">
      <w:lvlJc w:val="left"/>
      <w:lvlText w:val="(%1)"/>
      <w:numFmt w:val="upperLetter"/>
      <w:start w:val="8"/>
    </w:lvl>
    <w:lvl w:ilvl="1">
      <w:lvlJc w:val="left"/>
      <w:lvlText w:val="(%2)"/>
      <w:numFmt w:val="lowerRoman"/>
      <w:start w:val="1"/>
    </w:lvl>
    <w:lvl w:ilvl="2">
      <w:lvlJc w:val="left"/>
      <w:lvlText w:val="-"/>
      <w:numFmt w:val="bullet"/>
      <w:start w:val="1"/>
    </w:lvl>
  </w:abstractNum>
  <w:abstractNum w:abstractNumId="61">
    <w:nsid w:val="14FCE74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2">
    <w:nsid w:val="6A3DD3E8"/>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lvl w:ilvl="3">
      <w:lvlJc w:val="left"/>
      <w:lvlText w:val="-"/>
      <w:numFmt w:val="bullet"/>
      <w:start w:val="1"/>
    </w:lvl>
  </w:abstractNum>
  <w:abstractNum w:abstractNumId="63">
    <w:nsid w:val="71C91298"/>
    <w:multiLevelType w:val="hybridMultilevel"/>
    <w:lvl w:ilvl="0">
      <w:lvlJc w:val="left"/>
      <w:lvlText w:val="(%1)"/>
      <w:numFmt w:val="upperLetter"/>
      <w:start w:val="35"/>
    </w:lvl>
  </w:abstractNum>
  <w:abstractNum w:abstractNumId="64">
    <w:nsid w:val="9DAF63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5">
    <w:nsid w:val="53299938"/>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66">
    <w:nsid w:val="1FBFE8E0"/>
    <w:multiLevelType w:val="hybridMultilevel"/>
    <w:lvl w:ilvl="0">
      <w:lvlJc w:val="left"/>
      <w:lvlText w:val="(%1)"/>
      <w:numFmt w:val="decimal"/>
      <w:start w:val="5"/>
    </w:lvl>
  </w:abstractNum>
  <w:abstractNum w:abstractNumId="67">
    <w:nsid w:val="5092CA79"/>
    <w:multiLevelType w:val="hybridMultilevel"/>
    <w:lvl w:ilvl="0">
      <w:lvlJc w:val="left"/>
      <w:lvlText w:val="(%1)"/>
      <w:numFmt w:val="lowerRoman"/>
      <w:start w:val="2"/>
    </w:lvl>
    <w:lvl w:ilvl="1">
      <w:lvlJc w:val="left"/>
      <w:lvlText w:val="(%2)"/>
      <w:numFmt w:val="decimal"/>
      <w:start w:val="1"/>
    </w:lvl>
  </w:abstractNum>
  <w:abstractNum w:abstractNumId="68">
    <w:nsid w:val="1D545C4D"/>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69">
    <w:nsid w:val="59ADEA3D"/>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70">
    <w:nsid w:val="288F1A34"/>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71">
    <w:nsid w:val="2A155DBC"/>
    <w:multiLevelType w:val="hybridMultilevel"/>
    <w:lvl w:ilvl="0">
      <w:lvlJc w:val="left"/>
      <w:lvlText w:val="(%1)"/>
      <w:numFmt w:val="upperLetter"/>
      <w:start w:val="5"/>
    </w:lvl>
  </w:abstractNum>
  <w:abstractNum w:abstractNumId="72">
    <w:nsid w:val="1D9F6E5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3">
    <w:nsid w:val="97E1B4E"/>
    <w:multiLevelType w:val="hybridMultilevel"/>
    <w:lvl w:ilvl="0">
      <w:lvlJc w:val="left"/>
      <w:lvlText w:val="%1"/>
      <w:numFmt w:val="lowerRoman"/>
      <w:start w:val="1"/>
    </w:lvl>
    <w:lvl w:ilvl="1">
      <w:lvlJc w:val="left"/>
      <w:lvlText w:val="(%2)"/>
      <w:numFmt w:val="decimal"/>
      <w:start w:val="4"/>
    </w:lvl>
    <w:lvl w:ilvl="2">
      <w:lvlJc w:val="left"/>
      <w:lvlText w:val="-"/>
      <w:numFmt w:val="bullet"/>
      <w:start w:val="1"/>
    </w:lvl>
  </w:abstractNum>
  <w:abstractNum w:abstractNumId="74">
    <w:nsid w:val="51088277"/>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75">
    <w:nsid w:val="1CA0C5FA"/>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76">
    <w:nsid w:val="53584BCB"/>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7">
    <w:nsid w:val="415E286C"/>
    <w:multiLevelType w:val="hybridMultilevel"/>
    <w:lvl w:ilvl="0">
      <w:lvlJc w:val="left"/>
      <w:lvlText w:val="(%1)"/>
      <w:numFmt w:val="upperLetter"/>
      <w:start w:val="3"/>
    </w:lvl>
  </w:abstractNum>
  <w:abstractNum w:abstractNumId="78">
    <w:nsid w:val="7C58FD05"/>
    <w:multiLevelType w:val="hybridMultilevel"/>
    <w:lvl w:ilvl="0">
      <w:lvlJc w:val="left"/>
      <w:lvlText w:val="(%1)"/>
      <w:numFmt w:val="upperLetter"/>
      <w:start w:val="1"/>
    </w:lvl>
    <w:lvl w:ilvl="1">
      <w:lvlJc w:val="left"/>
      <w:lvlText w:val="-"/>
      <w:numFmt w:val="bullet"/>
      <w:start w:val="1"/>
    </w:lvl>
  </w:abstractNum>
  <w:abstractNum w:abstractNumId="79">
    <w:nsid w:val="23D86AAC"/>
    <w:multiLevelType w:val="hybridMultilevel"/>
    <w:lvl w:ilvl="0">
      <w:lvlJc w:val="left"/>
      <w:lvlText w:val="(%1)"/>
      <w:numFmt w:val="upperLetter"/>
      <w:start w:val="1"/>
    </w:lvl>
    <w:lvl w:ilvl="1">
      <w:lvlJc w:val="left"/>
      <w:lvlText w:val="(%2)"/>
      <w:numFmt w:val="lowerRoman"/>
      <w:start w:val="1"/>
    </w:lvl>
  </w:abstractNum>
  <w:abstractNum w:abstractNumId="80">
    <w:nsid w:val="45E6D486"/>
    <w:multiLevelType w:val="hybridMultilevel"/>
    <w:lvl w:ilvl="0">
      <w:lvlJc w:val="left"/>
      <w:lvlText w:val="(%1)"/>
      <w:numFmt w:val="lowerRoman"/>
      <w:start w:val="2"/>
    </w:lvl>
  </w:abstractNum>
  <w:abstractNum w:abstractNumId="81">
    <w:nsid w:val="5C10FE21"/>
    <w:multiLevelType w:val="hybridMultilevel"/>
    <w:lvl w:ilvl="0">
      <w:lvlJc w:val="left"/>
      <w:lvlText w:val="Y"/>
      <w:numFmt w:val="bullet"/>
      <w:start w:val="1"/>
    </w:lvl>
  </w:abstractNum>
  <w:abstractNum w:abstractNumId="82">
    <w:nsid w:val="E7FFA2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83">
    <w:nsid w:val="3C5991AA"/>
    <w:multiLevelType w:val="hybridMultilevel"/>
    <w:lvl w:ilvl="0">
      <w:lvlJc w:val="left"/>
      <w:lvlText w:val="(%1)"/>
      <w:numFmt w:val="decimal"/>
      <w:start w:val="2"/>
    </w:lvl>
  </w:abstractNum>
  <w:abstractNum w:abstractNumId="84">
    <w:nsid w:val="4BD8591A"/>
    <w:multiLevelType w:val="hybridMultilevel"/>
    <w:lvl w:ilvl="0">
      <w:lvlJc w:val="left"/>
      <w:lvlText w:val="(%1)"/>
      <w:numFmt w:val="lowerRoman"/>
      <w:start w:val="4"/>
    </w:lvl>
  </w:abstractNum>
  <w:abstractNum w:abstractNumId="85">
    <w:nsid w:val="78DF6A55"/>
    <w:multiLevelType w:val="hybridMultilevel"/>
    <w:lvl w:ilvl="0">
      <w:lvlJc w:val="left"/>
      <w:lvlText w:val="(%1)"/>
      <w:numFmt w:val="lowerRoman"/>
      <w:start w:val="5"/>
    </w:lvl>
  </w:abstractNum>
  <w:abstractNum w:abstractNumId="86">
    <w:nsid w:val="39B7AAA2"/>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87">
    <w:nsid w:val="2B0D8DBE"/>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88">
    <w:nsid w:val="6C80EC70"/>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9">
    <w:nsid w:val="379E21B5"/>
    <w:multiLevelType w:val="hybridMultilevel"/>
    <w:lvl w:ilvl="0">
      <w:lvlJc w:val="left"/>
      <w:lvlText w:val="(%1)"/>
      <w:numFmt w:val="lowerRoman"/>
      <w:start w:val="3"/>
    </w:lvl>
  </w:abstractNum>
  <w:abstractNum w:abstractNumId="90">
    <w:nsid w:val="69E373"/>
    <w:multiLevelType w:val="hybridMultilevel"/>
    <w:lvl w:ilvl="0">
      <w:lvlJc w:val="left"/>
      <w:lvlText w:val="(%1)"/>
      <w:numFmt w:val="upperLetter"/>
      <w:start w:val="5"/>
    </w:lvl>
    <w:lvl w:ilvl="1">
      <w:lvlJc w:val="left"/>
      <w:lvlText w:val="(%2)"/>
      <w:numFmt w:val="lowerRoman"/>
      <w:start w:val="1"/>
    </w:lvl>
  </w:abstractNum>
  <w:abstractNum w:abstractNumId="91">
    <w:nsid w:val="2C27173B"/>
    <w:multiLevelType w:val="hybridMultilevel"/>
    <w:lvl w:ilvl="0">
      <w:lvlJc w:val="left"/>
      <w:lvlText w:val="(%1)"/>
      <w:numFmt w:val="upperLetter"/>
      <w:start w:val="6"/>
    </w:lvl>
    <w:lvl w:ilvl="1">
      <w:lvlJc w:val="left"/>
      <w:lvlText w:val="-"/>
      <w:numFmt w:val="bullet"/>
      <w:start w:val="1"/>
    </w:lvl>
  </w:abstractNum>
  <w:abstractNum w:abstractNumId="92">
    <w:nsid w:val="4C9B0904"/>
    <w:multiLevelType w:val="hybridMultilevel"/>
    <w:lvl w:ilvl="0">
      <w:lvlJc w:val="left"/>
      <w:lvlText w:val="(%1)"/>
      <w:numFmt w:val="upperLetter"/>
      <w:start w:val="7"/>
    </w:lvl>
  </w:abstractNum>
  <w:abstractNum w:abstractNumId="93">
    <w:nsid w:val="6AA7B75C"/>
    <w:multiLevelType w:val="hybridMultilevel"/>
    <w:lvl w:ilvl="0">
      <w:lvlJc w:val="left"/>
      <w:lvlText w:val="(%1)"/>
      <w:numFmt w:val="upperLetter"/>
      <w:start w:val="1"/>
    </w:lvl>
    <w:lvl w:ilvl="1">
      <w:lvlJc w:val="left"/>
      <w:lvlText w:val="-"/>
      <w:numFmt w:val="bullet"/>
      <w:start w:val="1"/>
    </w:lvl>
  </w:abstractNum>
  <w:abstractNum w:abstractNumId="94">
    <w:nsid w:val="1DF029D3"/>
    <w:multiLevelType w:val="hybridMultilevel"/>
    <w:lvl w:ilvl="0">
      <w:lvlJc w:val="left"/>
      <w:lvlText w:val="(%1)"/>
      <w:numFmt w:val="upperLetter"/>
      <w:start w:val="1"/>
    </w:lvl>
  </w:abstractNum>
  <w:abstractNum w:abstractNumId="95">
    <w:nsid w:val="5675FF36"/>
    <w:multiLevelType w:val="hybridMultilevel"/>
    <w:lvl w:ilvl="0">
      <w:lvlJc w:val="left"/>
      <w:lvlText w:val="(%1)"/>
      <w:numFmt w:val="lowerRoman"/>
      <w:start w:val="1"/>
    </w:lvl>
  </w:abstractNum>
  <w:abstractNum w:abstractNumId="96">
    <w:nsid w:val="3DD15094"/>
    <w:multiLevelType w:val="hybridMultilevel"/>
    <w:lvl w:ilvl="0">
      <w:lvlJc w:val="left"/>
      <w:lvlText w:val="(%1)"/>
      <w:numFmt w:val="upperLetter"/>
      <w:start w:val="2"/>
    </w:lvl>
  </w:abstractNum>
  <w:abstractNum w:abstractNumId="97">
    <w:nsid w:val="3DB012B3"/>
    <w:multiLevelType w:val="hybridMultilevel"/>
    <w:lvl w:ilvl="0">
      <w:lvlJc w:val="left"/>
      <w:lvlText w:val="(%1)"/>
      <w:numFmt w:val="upperLetter"/>
      <w:start w:val="1"/>
    </w:lvl>
    <w:lvl w:ilvl="1">
      <w:lvlJc w:val="left"/>
      <w:lvlText w:val="-"/>
      <w:numFmt w:val="bullet"/>
      <w:start w:val="1"/>
    </w:lvl>
  </w:abstractNum>
  <w:abstractNum w:abstractNumId="98">
    <w:nsid w:val="2708C9AF"/>
    <w:multiLevelType w:val="hybridMultilevel"/>
    <w:lvl w:ilvl="0">
      <w:lvlJc w:val="left"/>
      <w:lvlText w:val="(%1)"/>
      <w:numFmt w:val="upperLetter"/>
      <w:start w:val="3"/>
    </w:lvl>
  </w:abstractNum>
  <w:abstractNum w:abstractNumId="99">
    <w:nsid w:val="5B25ACE2"/>
    <w:multiLevelType w:val="hybridMultilevel"/>
    <w:lvl w:ilvl="0">
      <w:lvlJc w:val="left"/>
      <w:lvlText w:val="(%1)"/>
      <w:numFmt w:val="upperLetter"/>
      <w:start w:val="1"/>
    </w:lvl>
    <w:lvl w:ilvl="1">
      <w:lvlJc w:val="left"/>
      <w:lvlText w:val="(%2)"/>
      <w:numFmt w:val="lowerRoman"/>
      <w:start w:val="1"/>
    </w:lvl>
  </w:abstractNum>
  <w:abstractNum w:abstractNumId="100">
    <w:nsid w:val="175DFCF0"/>
    <w:multiLevelType w:val="hybridMultilevel"/>
    <w:lvl w:ilvl="0">
      <w:lvlJc w:val="left"/>
      <w:lvlText w:val="(%1)"/>
      <w:numFmt w:val="decimal"/>
      <w:start w:val="1"/>
    </w:lvl>
    <w:lvl w:ilvl="1">
      <w:lvlJc w:val="left"/>
      <w:lvlText w:val="-"/>
      <w:numFmt w:val="bullet"/>
      <w:start w:val="1"/>
    </w:lvl>
  </w:abstractNum>
  <w:abstractNum w:abstractNumId="101">
    <w:nsid w:val="4F97E3E4"/>
    <w:multiLevelType w:val="hybridMultilevel"/>
    <w:lvl w:ilvl="0">
      <w:lvlJc w:val="left"/>
      <w:lvlText w:val="(%1)"/>
      <w:numFmt w:val="decimal"/>
      <w:start w:val="2"/>
    </w:lvl>
  </w:abstractNum>
  <w:abstractNum w:abstractNumId="102">
    <w:nsid w:val="53B0A9E"/>
    <w:multiLevelType w:val="hybridMultilevel"/>
    <w:lvl w:ilvl="0">
      <w:lvlJc w:val="left"/>
      <w:lvlText w:val="(%1)"/>
      <w:numFmt w:val="upperLetter"/>
      <w:start w:val="2"/>
    </w:lvl>
    <w:lvl w:ilvl="1">
      <w:lvlJc w:val="left"/>
      <w:lvlText w:val="-"/>
      <w:numFmt w:val="bullet"/>
      <w:start w:val="1"/>
    </w:lvl>
  </w:abstractNum>
  <w:abstractNum w:abstractNumId="103">
    <w:nsid w:val="34FD6B4F"/>
    <w:multiLevelType w:val="hybridMultilevel"/>
    <w:lvl w:ilvl="0">
      <w:lvlJc w:val="left"/>
      <w:lvlText w:val="(%1)"/>
      <w:numFmt w:val="upperLetter"/>
      <w:start w:val="3"/>
    </w:lvl>
  </w:abstractNum>
  <w:abstractNum w:abstractNumId="104">
    <w:nsid w:val="5915FF32"/>
    <w:multiLevelType w:val="hybridMultilevel"/>
    <w:lvl w:ilvl="0">
      <w:lvlJc w:val="left"/>
      <w:lvlText w:val="(%1)"/>
      <w:numFmt w:val="upperLetter"/>
      <w:start w:val="1"/>
    </w:lvl>
    <w:lvl w:ilvl="1">
      <w:lvlJc w:val="left"/>
      <w:lvlText w:val="(%2)"/>
      <w:numFmt w:val="lowerRoman"/>
      <w:start w:val="1"/>
    </w:lvl>
  </w:abstractNum>
  <w:abstractNum w:abstractNumId="105">
    <w:nsid w:val="56438D1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06">
    <w:nsid w:val="519E3149"/>
    <w:multiLevelType w:val="hybridMultilevel"/>
    <w:lvl w:ilvl="0">
      <w:lvlJc w:val="left"/>
      <w:lvlText w:val="(%1)"/>
      <w:numFmt w:val="decimal"/>
      <w:start w:val="1"/>
    </w:lvl>
  </w:abstractNum>
  <w:abstractNum w:abstractNumId="107">
    <w:nsid w:val="2C6E4AFD"/>
    <w:multiLevelType w:val="hybridMultilevel"/>
    <w:lvl w:ilvl="0">
      <w:lvlJc w:val="left"/>
      <w:lvlText w:val="(%1)"/>
      <w:numFmt w:val="lowerRoman"/>
      <w:start w:val="8"/>
    </w:lvl>
    <w:lvl w:ilvl="1">
      <w:lvlJc w:val="left"/>
      <w:lvlText w:val="(%2)"/>
      <w:numFmt w:val="decimal"/>
      <w:start w:val="1"/>
    </w:lvl>
    <w:lvl w:ilvl="2">
      <w:lvlJc w:val="left"/>
      <w:lvlText w:val="-"/>
      <w:numFmt w:val="bullet"/>
      <w:start w:val="1"/>
    </w:lvl>
  </w:abstractNum>
  <w:abstractNum w:abstractNumId="108">
    <w:nsid w:val="17A1B582"/>
    <w:multiLevelType w:val="hybridMultilevel"/>
    <w:lvl w:ilvl="0">
      <w:lvlJc w:val="left"/>
      <w:lvlText w:val="(%1)"/>
      <w:numFmt w:val="decimal"/>
      <w:start w:val="4"/>
    </w:lvl>
  </w:abstractNum>
  <w:abstractNum w:abstractNumId="109">
    <w:nsid w:val="4DF72E4E"/>
    <w:multiLevelType w:val="hybridMultilevel"/>
    <w:lvl w:ilvl="0">
      <w:lvlJc w:val="left"/>
      <w:lvlText w:val="(%1)"/>
      <w:numFmt w:val="upperLetter"/>
      <w:start w:val="2"/>
    </w:lvl>
  </w:abstractNum>
  <w:abstractNum w:abstractNumId="110">
    <w:nsid w:val="5046B5A9"/>
    <w:multiLevelType w:val="hybridMultilevel"/>
    <w:lvl w:ilvl="0">
      <w:lvlJc w:val="left"/>
      <w:lvlText w:val="(%1)"/>
      <w:numFmt w:val="upperLetter"/>
      <w:start w:val="1"/>
    </w:lvl>
  </w:abstractNum>
  <w:abstractNum w:abstractNumId="111">
    <w:nsid w:val="5D888A08"/>
    <w:multiLevelType w:val="hybridMultilevel"/>
    <w:lvl w:ilvl="0">
      <w:lvlJc w:val="left"/>
      <w:lvlText w:val="(%1)"/>
      <w:numFmt w:val="upperLetter"/>
      <w:start w:val="1"/>
    </w:lvl>
    <w:lvl w:ilvl="1">
      <w:lvlJc w:val="left"/>
      <w:lvlText w:val="-"/>
      <w:numFmt w:val="bullet"/>
      <w:start w:val="1"/>
    </w:lvl>
  </w:abstractNum>
  <w:abstractNum w:abstractNumId="112">
    <w:nsid w:val="2A082C70"/>
    <w:multiLevelType w:val="hybridMultilevel"/>
    <w:lvl w:ilvl="0">
      <w:lvlJc w:val="left"/>
      <w:lvlText w:val="(%1)"/>
      <w:numFmt w:val="upperLetter"/>
      <w:start w:val="2"/>
    </w:lvl>
  </w:abstractNum>
  <w:abstractNum w:abstractNumId="113">
    <w:nsid w:val="5EC6AFD4"/>
    <w:multiLevelType w:val="hybridMultilevel"/>
    <w:lvl w:ilvl="0">
      <w:lvlJc w:val="left"/>
      <w:lvlText w:val="(%1)"/>
      <w:numFmt w:val="upperLetter"/>
      <w:start w:val="1"/>
    </w:lvl>
    <w:lvl w:ilvl="1">
      <w:lvlJc w:val="left"/>
      <w:lvlText w:val="-"/>
      <w:numFmt w:val="bullet"/>
      <w:start w:val="1"/>
    </w:lvl>
  </w:abstractNum>
  <w:abstractNum w:abstractNumId="114">
    <w:nsid w:val="19E21BB2"/>
    <w:multiLevelType w:val="hybridMultilevel"/>
    <w:lvl w:ilvl="0">
      <w:lvlJc w:val="left"/>
      <w:lvlText w:val="(%1)"/>
      <w:numFmt w:val="upperLetter"/>
      <w:start w:val="2"/>
    </w:lvl>
  </w:abstractNum>
  <w:abstractNum w:abstractNumId="115">
    <w:nsid w:val="75E0858A"/>
    <w:multiLevelType w:val="hybridMultilevel"/>
    <w:lvl w:ilvl="0">
      <w:lvlJc w:val="left"/>
      <w:lvlText w:val="(%1)"/>
      <w:numFmt w:val="upperLetter"/>
      <w:start w:val="1"/>
    </w:lvl>
    <w:lvl w:ilvl="1">
      <w:lvlJc w:val="left"/>
      <w:lvlText w:val="-"/>
      <w:numFmt w:val="bullet"/>
      <w:start w:val="1"/>
    </w:lvl>
  </w:abstractNum>
  <w:abstractNum w:abstractNumId="116">
    <w:nsid w:val="57A61A29"/>
    <w:multiLevelType w:val="hybridMultilevel"/>
    <w:lvl w:ilvl="0">
      <w:lvlJc w:val="left"/>
      <w:lvlText w:val="(%1)"/>
      <w:numFmt w:val="upperLetter"/>
      <w:start w:val="5"/>
    </w:lvl>
  </w:abstractNum>
  <w:abstractNum w:abstractNumId="117">
    <w:nsid w:val="5399C654"/>
    <w:multiLevelType w:val="hybridMultilevel"/>
    <w:lvl w:ilvl="0">
      <w:lvlJc w:val="left"/>
      <w:lvlText w:val="(%1)"/>
      <w:numFmt w:val="upperLetter"/>
      <w:start w:val="1"/>
    </w:lvl>
    <w:lvl w:ilvl="1">
      <w:lvlJc w:val="left"/>
      <w:lvlText w:val="-"/>
      <w:numFmt w:val="bullet"/>
      <w:start w:val="1"/>
    </w:lvl>
  </w:abstractNum>
  <w:abstractNum w:abstractNumId="118">
    <w:nsid w:val="20EE1348"/>
    <w:multiLevelType w:val="hybridMultilevel"/>
    <w:lvl w:ilvl="0">
      <w:lvlJc w:val="left"/>
      <w:lvlText w:val="(%1)"/>
      <w:numFmt w:val="upperLetter"/>
      <w:start w:val="1"/>
    </w:lvl>
    <w:lvl w:ilvl="1">
      <w:lvlJc w:val="left"/>
      <w:lvlText w:val="(%2)"/>
      <w:numFmt w:val="lowerRoman"/>
      <w:start w:val="1"/>
    </w:lvl>
  </w:abstractNum>
  <w:abstractNum w:abstractNumId="119">
    <w:nsid w:val="4427069A"/>
    <w:multiLevelType w:val="hybridMultilevel"/>
    <w:lvl w:ilvl="0">
      <w:lvlJc w:val="left"/>
      <w:lvlText w:val="(%1)"/>
      <w:numFmt w:val="upperLetter"/>
      <w:start w:val="2"/>
    </w:lvl>
    <w:lvl w:ilvl="1">
      <w:lvlJc w:val="left"/>
      <w:lvlText w:val="-"/>
      <w:numFmt w:val="bullet"/>
      <w:start w:val="1"/>
    </w:lvl>
  </w:abstractNum>
  <w:abstractNum w:abstractNumId="120">
    <w:nsid w:val="B37E80A"/>
    <w:multiLevelType w:val="hybridMultilevel"/>
    <w:lvl w:ilvl="0">
      <w:lvlJc w:val="left"/>
      <w:lvlText w:val="(%1)"/>
      <w:numFmt w:val="upperLetter"/>
      <w:start w:val="1"/>
    </w:lvl>
    <w:lvl w:ilvl="1">
      <w:lvlJc w:val="left"/>
      <w:lvlText w:val="-"/>
      <w:numFmt w:val="bullet"/>
      <w:start w:val="1"/>
    </w:lvl>
  </w:abstractNum>
  <w:abstractNum w:abstractNumId="121">
    <w:nsid w:val="2157F6BC"/>
    <w:multiLevelType w:val="hybridMultilevel"/>
    <w:lvl w:ilvl="0">
      <w:lvlJc w:val="left"/>
      <w:lvlText w:val="(%1)"/>
      <w:numFmt w:val="upperLetter"/>
      <w:start w:val="1"/>
    </w:lvl>
  </w:abstractNum>
  <w:abstractNum w:abstractNumId="122">
    <w:nsid w:val="704E1DD5"/>
    <w:multiLevelType w:val="hybridMultilevel"/>
    <w:lvl w:ilvl="0">
      <w:lvlJc w:val="left"/>
      <w:lvlText w:val="%1"/>
      <w:numFmt w:val="lowerRoman"/>
      <w:start w:val="1"/>
    </w:lvl>
    <w:lvl w:ilvl="1">
      <w:lvlJc w:val="left"/>
      <w:lvlText w:val="(%2)"/>
      <w:numFmt w:val="upperLetter"/>
      <w:start w:val="1"/>
    </w:lvl>
  </w:abstractNum>
  <w:abstractNum w:abstractNumId="123">
    <w:nsid w:val="57D2F10E"/>
    <w:multiLevelType w:val="hybridMultilevel"/>
    <w:lvl w:ilvl="0">
      <w:lvlJc w:val="left"/>
      <w:lvlText w:val="(%1)"/>
      <w:numFmt w:val="lowerRoman"/>
      <w:start w:val="2"/>
    </w:lvl>
    <w:lvl w:ilvl="1">
      <w:lvlJc w:val="left"/>
      <w:lvlText w:val="(%2)"/>
      <w:numFmt w:val="upperLetter"/>
      <w:start w:val="2"/>
    </w:lvl>
  </w:abstractNum>
  <w:abstractNum w:abstractNumId="124">
    <w:nsid w:val="BFFAE18"/>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25">
    <w:nsid w:val="E3E47A8"/>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126">
    <w:nsid w:val="2E48F044"/>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127">
    <w:nsid w:val="49D0FEAC"/>
    <w:multiLevelType w:val="hybridMultilevel"/>
    <w:lvl w:ilvl="0">
      <w:lvlJc w:val="left"/>
      <w:lvlText w:val="(%1)"/>
      <w:numFmt w:val="upperLetter"/>
      <w:start w:val="12"/>
    </w:lvl>
  </w:abstractNum>
  <w:abstractNum w:abstractNumId="128">
    <w:nsid w:val="4BEE5A5B"/>
    <w:multiLevelType w:val="hybridMultilevel"/>
    <w:lvl w:ilvl="0">
      <w:lvlJc w:val="left"/>
      <w:lvlText w:val="(%1)"/>
      <w:numFmt w:val="upperLetter"/>
      <w:start w:val="1"/>
    </w:lvl>
  </w:abstractNum>
  <w:abstractNum w:abstractNumId="129">
    <w:nsid w:val="5551B9F3"/>
    <w:multiLevelType w:val="hybridMultilevel"/>
    <w:lvl w:ilvl="0">
      <w:lvlJc w:val="left"/>
      <w:lvlText w:val="(%1)"/>
      <w:numFmt w:val="upperLetter"/>
      <w:start w:val="1"/>
    </w:lvl>
    <w:lvl w:ilvl="1">
      <w:lvlJc w:val="left"/>
      <w:lvlText w:val="-"/>
      <w:numFmt w:val="bullet"/>
      <w:start w:val="1"/>
    </w:lvl>
  </w:abstractNum>
  <w:abstractNum w:abstractNumId="130">
    <w:nsid w:val="24F6AB8E"/>
    <w:multiLevelType w:val="hybridMultilevel"/>
    <w:lvl w:ilvl="0">
      <w:lvlJc w:val="left"/>
      <w:lvlText w:val="(%1)"/>
      <w:numFmt w:val="upperLetter"/>
      <w:start w:val="2"/>
    </w:lvl>
  </w:abstractNum>
  <w:abstractNum w:abstractNumId="131">
    <w:nsid w:val="634C574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32">
    <w:nsid w:val="24E99DD7"/>
    <w:multiLevelType w:val="hybridMultilevel"/>
    <w:lvl w:ilvl="0">
      <w:lvlJc w:val="left"/>
      <w:lvlText w:val="(%1)"/>
      <w:numFmt w:val="upperLetter"/>
      <w:start w:val="3"/>
    </w:lvl>
  </w:abstractNum>
  <w:abstractNum w:abstractNumId="133">
    <w:nsid w:val="2A31B62D"/>
    <w:multiLevelType w:val="hybridMultilevel"/>
    <w:lvl w:ilvl="0">
      <w:lvlJc w:val="left"/>
      <w:lvlText w:val="(%1)"/>
      <w:numFmt w:val="upperLetter"/>
      <w:start w:val="1"/>
    </w:lvl>
    <w:lvl w:ilvl="1">
      <w:lvlJc w:val="left"/>
      <w:lvlText w:val="-"/>
      <w:numFmt w:val="bullet"/>
      <w:start w:val="1"/>
    </w:lvl>
  </w:abstractNum>
  <w:abstractNum w:abstractNumId="134">
    <w:nsid w:val="1849C29B"/>
    <w:multiLevelType w:val="hybridMultilevel"/>
    <w:lvl w:ilvl="0">
      <w:lvlJc w:val="left"/>
      <w:lvlText w:val="(%1)"/>
      <w:numFmt w:val="upperLetter"/>
      <w:start w:val="1"/>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1."/>
      <w:numFmt w:val="decimal"/>
      <w:start w:val="1"/>
    </w:lvl>
  </w:abstractNum>
  <w:abstractNum w:abstractNumId="137">
    <w:nsid w:val="69E7F3E5"/>
    <w:multiLevelType w:val="hybridMultilevel"/>
    <w:lvl w:ilvl="0">
      <w:lvlJc w:val="left"/>
      <w:lvlText w:val="%1."/>
      <w:numFmt w:val="decimal"/>
      <w:start w:val="8"/>
    </w:lvl>
    <w:lvl w:ilvl="1">
      <w:lvlJc w:val="left"/>
      <w:lvlText w:val="*"/>
      <w:numFmt w:val="bullet"/>
      <w:start w:val="1"/>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
      <w:numFmt w:val="bullet"/>
      <w:start w:val="1"/>
    </w:lvl>
  </w:abstractNum>
  <w:abstractNum w:abstractNumId="140">
    <w:nsid w:val="37DF2233"/>
    <w:multiLevelType w:val="hybridMultilevel"/>
    <w:lvl w:ilvl="0">
      <w:lvlJc w:val="left"/>
      <w:lvlText w:val="□"/>
      <w:numFmt w:val="bullet"/>
      <w:start w:val="1"/>
    </w:lvl>
  </w:abstractNum>
  <w:abstractNum w:abstractNumId="141">
    <w:nsid w:val="7AB49DAF"/>
    <w:multiLevelType w:val="hybridMultilevel"/>
    <w:lvl w:ilvl="0">
      <w:lvlJc w:val="left"/>
      <w:lvlText w:val="☐"/>
      <w:numFmt w:val="bullet"/>
      <w:start w:val="1"/>
    </w:lvl>
  </w:abstractNum>
  <w:abstractNum w:abstractNumId="142">
    <w:nsid w:val="759F82CD"/>
    <w:multiLevelType w:val="hybridMultilevel"/>
    <w:lvl w:ilvl="0">
      <w:lvlJc w:val="left"/>
      <w:lvlText w:val="%1"/>
      <w:numFmt w:val="decimal"/>
      <w:start w:val="1"/>
    </w:lvl>
    <w:lvl w:ilvl="1">
      <w:lvlJc w:val="left"/>
      <w:lvlText w:val="%2."/>
      <w:numFmt w:val="decimal"/>
      <w:start w:val="1"/>
    </w:lvl>
  </w:abstractNum>
  <w:abstractNum w:abstractNumId="143">
    <w:nsid w:val="61E74EA3"/>
    <w:multiLevelType w:val="hybridMultilevel"/>
    <w:lvl w:ilvl="0">
      <w:lvlJc w:val="left"/>
      <w:lvlText w:val="%1."/>
      <w:numFmt w:val="decimal"/>
      <w:start w:val="2"/>
    </w:lvl>
    <w:lvl w:ilvl="1">
      <w:lvlJc w:val="left"/>
      <w:lvlText w:val="%2."/>
      <w:numFmt w:val="decimal"/>
      <w:start w:val="4"/>
    </w:lvl>
  </w:abstractNum>
  <w:abstractNum w:abstractNumId="144">
    <w:nsid w:val="597B4D84"/>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2025-05-19T15:16:47Z</dcterms:created>
  <dcterms:modified xsi:type="dcterms:W3CDTF">2025-05-19T15:16:47Z</dcterms:modified>
</cp:coreProperties>
</file>