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391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3916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Willerer Tom Joseph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410 N. SCOTTSDALE ROAD,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Opendoor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OPEN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321" w:lineRule="exact"/>
        <w:rPr>
          <w:sz w:val="24"/>
          <w:szCs w:val="24"/>
          <w:color w:val="auto"/>
        </w:rPr>
      </w:pPr>
    </w:p>
    <w:p>
      <w:pPr>
        <w:sectPr>
          <w:pgSz w:w="11900" w:h="16838" w:orient="portrait"/>
          <w:cols w:equalWidth="0" w:num="3">
            <w:col w:w="3240" w:space="680"/>
            <w:col w:w="3160" w:space="655"/>
            <w:col w:w="3265"/>
          </w:cols>
          <w:pgMar w:left="460" w:top="225" w:right="43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TEMPE</w:t>
            </w:r>
          </w:p>
        </w:tc>
        <w:tc>
          <w:tcPr>
            <w:tcW w:w="1140" w:type="dxa"/>
            <w:vAlign w:val="bottom"/>
          </w:tcPr>
          <w:p>
            <w:pPr>
              <w:ind w:left="3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85281</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7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80"/>
        <w:spacing w:after="0" w:line="250" w:lineRule="auto"/>
        <w:rPr>
          <w:sz w:val="20"/>
          <w:szCs w:val="20"/>
          <w:color w:val="auto"/>
        </w:rPr>
      </w:pPr>
      <w:r>
        <w:rPr>
          <w:rFonts w:ascii="Arial" w:cs="Arial" w:eastAsia="Arial" w:hAnsi="Arial"/>
          <w:sz w:val="13"/>
          <w:szCs w:val="13"/>
          <w:color w:val="008000"/>
        </w:rPr>
        <w:t>As of May 6, 2021, the reporting person is no longer an officer of Opendoor Technologies Inc. for purposes of Section 16 under the Securities Exchange Act of 1934, as amended. As a result, the reporting person is no longer subject to Section 16 in connection with his transactions in the equity securities of Opendoor Technologies Inc. and therefore will no longer report any such transactions on Form 4 or Form 5.</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Carrie Wheeler,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05/12/2021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537" TargetMode="External"/><Relationship Id="rId13"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2021-05-12T15:39:49Z</dcterms:created>
  <dcterms:modified xsi:type="dcterms:W3CDTF">2021-05-12T15:39:49Z</dcterms:modified>
</cp:coreProperties>
</file>