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w:t>
      </w:r>
    </w:p>
    <w:p>
      <w:pPr>
        <w:pStyle w:val="TextBody"/>
        <w:bidi w:val="0"/>
        <w:spacing w:lineRule="auto" w:line="288" w:before="18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August 4, 2026</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Opendoor Technologies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127" w:type="dxa"/>
        <w:jc w:val="left"/>
        <w:tblInd w:w="0" w:type="dxa"/>
        <w:tblLayout w:type="fixed"/>
        <w:tblCellMar>
          <w:top w:w="28" w:type="dxa"/>
          <w:left w:w="28" w:type="dxa"/>
          <w:bottom w:w="28" w:type="dxa"/>
          <w:right w:w="28" w:type="dxa"/>
        </w:tblCellMar>
      </w:tblPr>
      <w:tblGrid>
        <w:gridCol w:w="823"/>
        <w:gridCol w:w="723"/>
        <w:gridCol w:w="731"/>
        <w:gridCol w:w="399"/>
        <w:gridCol w:w="399"/>
        <w:gridCol w:w="403"/>
        <w:gridCol w:w="481"/>
        <w:gridCol w:w="481"/>
        <w:gridCol w:w="687"/>
      </w:tblGrid>
      <w:tr>
        <w:trPr/>
        <w:tc>
          <w:tcPr>
            <w:tcW w:w="8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001-39253</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30-1318214</w:t>
            </w:r>
          </w:p>
        </w:tc>
      </w:tr>
      <w:tr>
        <w:trPr/>
        <w:tc>
          <w:tcPr>
            <w:tcW w:w="227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120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2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1295 West Washington Street, Suite 115</w:t>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Tempe,</w:t>
            </w:r>
          </w:p>
        </w:tc>
        <w:tc>
          <w:tcPr>
            <w:tcW w:w="12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AZ</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85288</w:t>
            </w:r>
          </w:p>
        </w:tc>
      </w:tr>
      <w:tr>
        <w:trPr/>
        <w:tc>
          <w:tcPr>
            <w:tcW w:w="3478"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(480) 618-6760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439"/>
        <w:gridCol w:w="1940"/>
        <w:gridCol w:w="1962"/>
        <w:gridCol w:w="109"/>
        <w:gridCol w:w="109"/>
        <w:gridCol w:w="109"/>
        <w:gridCol w:w="430"/>
        <w:gridCol w:w="430"/>
        <w:gridCol w:w="432"/>
        <w:gridCol w:w="109"/>
        <w:gridCol w:w="109"/>
        <w:gridCol w:w="109"/>
        <w:gridCol w:w="559"/>
        <w:gridCol w:w="559"/>
        <w:gridCol w:w="800"/>
      </w:tblGrid>
      <w:tr>
        <w:trPr/>
        <w:tc>
          <w:tcPr>
            <w:tcW w:w="2439"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each exchange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 which registered</w:t>
            </w:r>
          </w:p>
        </w:tc>
      </w:tr>
      <w:tr>
        <w:trPr/>
        <w:tc>
          <w:tcPr>
            <w:tcW w:w="6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OPEN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63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Series K Warrants, each whole warrant exercisable to purchase one share of common stock at an exercise price of $9.00 per warrant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OPENW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63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Series A Warrants, each whole warrant exercisable to purchase one share of common stock at an exercise price of $13.00 per warrant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OPENL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63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Series Z Warrants, each whole warrant exercisable to purchase one share of common stock at an exercise price of $17.00 per warrant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OPENZ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80" w:after="283"/>
        <w:jc w:val="righ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18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864"/>
        <w:jc w:val="left"/>
        <w:rPr>
          <w:rFonts w:ascii="Times New Roman;serif" w:hAnsi="Times New Roman;serif"/>
          <w:b/>
          <w:color w:val="000000"/>
          <w:sz w:val="20"/>
        </w:rPr>
      </w:pPr>
      <w:r>
        <w:rPr>
          <w:rFonts w:ascii="Times New Roman;serif" w:hAnsi="Times New Roman;serif"/>
          <w:b/>
          <w:color w:val="000000"/>
          <w:sz w:val="20"/>
        </w:rPr>
        <w:t>Item 2.02Results of Operations and Financial Condition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August 4, 2026, Opendoor Technologies Inc. (the “Company”) issued a press release announcing its financial results for the second quarter ended June 30, 2026. A copy of the press release is furnished as Exhibit 99.1 to this Current Report on Form 8-K.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240" w:after="283"/>
        <w:jc w:val="left"/>
        <w:rPr/>
      </w:pPr>
      <w:r>
        <w:rPr>
          <w:rFonts w:ascii="Times New Roman;serif" w:hAnsi="Times New Roman;serif"/>
          <w:b w:val="false"/>
          <w:color w:val="000000"/>
          <w:sz w:val="20"/>
        </w:rPr>
        <w:t xml:space="preserve">On August 4, 2026, the Company posted an earnings supplement (the “Supplement”) and supplemental macroeconomic charts (the “Supplemental Macro Charts”) in the “Investor Relations” portion of its website at </w:t>
      </w:r>
      <w:r>
        <w:rPr>
          <w:rFonts w:ascii="Times New Roman;serif" w:hAnsi="Times New Roman;serif"/>
          <w:b w:val="false"/>
          <w:color w:val="000000"/>
          <w:sz w:val="20"/>
          <w:u w:val="single"/>
        </w:rPr>
        <w:t>investor.opendoor.com</w:t>
      </w:r>
      <w:r>
        <w:rPr>
          <w:rFonts w:ascii="Times New Roman;serif" w:hAnsi="Times New Roman;serif"/>
          <w:b w:val="false"/>
          <w:color w:val="000000"/>
          <w:sz w:val="20"/>
        </w:rPr>
        <w:t>. A copy of the Supplement and the Supplemental Macro Charts is attached to this Current Report on Form 8-K as Exhibit 99.2 and 99.3, respectively.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Items 2.02 and 7.01 of this Current Report (including Exhibits 99.1, 99.2, and 99.3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9.01</w:t>
      </w:r>
      <w:r>
        <w:rPr>
          <w:rFonts w:ascii="Times New Roman;serif" w:hAnsi="Times New Roman;serif"/>
          <w:b/>
          <w:color w:val="000000"/>
          <w:sz w:val="20"/>
        </w:rPr>
        <w:t>Financial Statements and Exhibits</w:t>
      </w:r>
    </w:p>
    <w:p>
      <w:pPr>
        <w:pStyle w:val="TextBody"/>
        <w:bidi w:val="0"/>
        <w:spacing w:lineRule="auto" w:line="288" w:before="240" w:after="283"/>
        <w:jc w:val="left"/>
        <w:rPr/>
      </w:pPr>
      <w:r>
        <w:rPr>
          <w:rFonts w:ascii="Times New Roman;serif" w:hAnsi="Times New Roman;serif"/>
          <w:b w:val="false"/>
          <w:color w:val="000000"/>
          <w:sz w:val="20"/>
        </w:rPr>
        <w:t>(d)</w:t>
      </w:r>
      <w:r>
        <w:rPr>
          <w:rFonts w:ascii="Times New Roman;serif" w:hAnsi="Times New Roman;serif"/>
          <w:b w:val="false"/>
          <w:color w:val="000000"/>
          <w:sz w:val="20"/>
        </w:rPr>
        <w:t>Exhibits.</w:t>
      </w:r>
    </w:p>
    <w:tbl>
      <w:tblPr>
        <w:tblW w:w="10205" w:type="dxa"/>
        <w:jc w:val="left"/>
        <w:tblInd w:w="0" w:type="dxa"/>
        <w:tblLayout w:type="fixed"/>
        <w:tblCellMar>
          <w:top w:w="28" w:type="dxa"/>
          <w:left w:w="28" w:type="dxa"/>
          <w:bottom w:w="28" w:type="dxa"/>
          <w:right w:w="28" w:type="dxa"/>
        </w:tblCellMar>
      </w:tblPr>
      <w:tblGrid>
        <w:gridCol w:w="390"/>
        <w:gridCol w:w="343"/>
        <w:gridCol w:w="344"/>
        <w:gridCol w:w="109"/>
        <w:gridCol w:w="109"/>
        <w:gridCol w:w="109"/>
        <w:gridCol w:w="2567"/>
        <w:gridCol w:w="2567"/>
        <w:gridCol w:w="3667"/>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7" w:type="dxa"/>
            <w:tcBorders/>
            <w:vAlign w:val="center"/>
          </w:tcPr>
          <w:p>
            <w:pPr>
              <w:pStyle w:val="TableContents"/>
              <w:bidi w:val="0"/>
              <w:spacing w:before="0" w:after="283"/>
              <w:jc w:val="left"/>
              <w:rPr>
                <w:sz w:val="4"/>
                <w:szCs w:val="4"/>
              </w:rPr>
            </w:pPr>
            <w:r>
              <w:rPr>
                <w:sz w:val="4"/>
                <w:szCs w:val="4"/>
              </w:rPr>
            </w:r>
          </w:p>
        </w:tc>
        <w:tc>
          <w:tcPr>
            <w:tcW w:w="2567" w:type="dxa"/>
            <w:tcBorders/>
            <w:vAlign w:val="center"/>
          </w:tcPr>
          <w:p>
            <w:pPr>
              <w:pStyle w:val="TableContents"/>
              <w:bidi w:val="0"/>
              <w:spacing w:before="0" w:after="283"/>
              <w:jc w:val="left"/>
              <w:rPr>
                <w:sz w:val="4"/>
                <w:szCs w:val="4"/>
              </w:rPr>
            </w:pPr>
            <w:r>
              <w:rPr>
                <w:sz w:val="4"/>
                <w:szCs w:val="4"/>
              </w:rPr>
            </w:r>
          </w:p>
        </w:tc>
        <w:tc>
          <w:tcPr>
            <w:tcW w:w="3667" w:type="dxa"/>
            <w:tcBorders/>
            <w:vAlign w:val="center"/>
          </w:tcPr>
          <w:p>
            <w:pPr>
              <w:pStyle w:val="TableContents"/>
              <w:bidi w:val="0"/>
              <w:spacing w:before="0" w:after="283"/>
              <w:jc w:val="left"/>
              <w:rPr>
                <w:sz w:val="4"/>
                <w:szCs w:val="4"/>
              </w:rPr>
            </w:pPr>
            <w:r>
              <w:rPr>
                <w:sz w:val="4"/>
                <w:szCs w:val="4"/>
              </w:rPr>
            </w:r>
          </w:p>
        </w:tc>
      </w:tr>
      <w:tr>
        <w:trPr/>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formxex991earningsre.htm">
              <w:r>
                <w:rPr>
                  <w:rStyle w:val="InternetLink"/>
                  <w:rFonts w:ascii="Times New Roman;serif" w:hAnsi="Times New Roman;serif"/>
                  <w:b w:val="false"/>
                  <w:color w:val="0000FF"/>
                  <w:sz w:val="20"/>
                  <w:u w:val="single"/>
                </w:rPr>
                <w:t>Press Release issued by Opendoor Technologies Inc. on August 4, 2026</w:t>
              </w:r>
            </w:hyperlink>
          </w:p>
        </w:tc>
      </w:tr>
      <w:tr>
        <w:trPr/>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2-q22026form8xk.htm">
              <w:r>
                <w:rPr>
                  <w:rStyle w:val="InternetLink"/>
                  <w:rFonts w:ascii="Times New Roman;serif" w:hAnsi="Times New Roman;serif"/>
                  <w:b w:val="false"/>
                  <w:color w:val="0000FF"/>
                  <w:sz w:val="20"/>
                  <w:u w:val="single"/>
                </w:rPr>
                <w:t>Financial Supplement issued by Opendoor Technologies Inc. on August 4, 2026</w:t>
              </w:r>
            </w:hyperlink>
          </w:p>
        </w:tc>
      </w:tr>
      <w:tr>
        <w:trPr/>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3-2q26opendoors.htm">
              <w:r>
                <w:rPr>
                  <w:rStyle w:val="InternetLink"/>
                  <w:rFonts w:ascii="Times New Roman;serif" w:hAnsi="Times New Roman;serif"/>
                  <w:b w:val="false"/>
                  <w:color w:val="0000FF"/>
                  <w:sz w:val="20"/>
                  <w:u w:val="single"/>
                </w:rPr>
                <w:t>Supplemental Macro Charts issued by Opendoor Technologies Inc. on August 4, 2026</w:t>
              </w:r>
            </w:hyperlink>
          </w:p>
        </w:tc>
      </w:tr>
      <w:tr>
        <w:trPr/>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(Cover page XBRL tags are embedded within the Inline XBRL document)</w:t>
            </w:r>
          </w:p>
        </w:tc>
      </w:tr>
    </w:tbl>
    <w:p>
      <w:pPr>
        <w:pStyle w:val="TextBody"/>
        <w:bidi w:val="0"/>
        <w:spacing w:before="240" w:after="283"/>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000" w:type="dxa"/>
        <w:jc w:val="left"/>
        <w:tblInd w:w="0" w:type="dxa"/>
        <w:tblLayout w:type="fixed"/>
        <w:tblCellMar>
          <w:top w:w="28" w:type="dxa"/>
          <w:left w:w="28" w:type="dxa"/>
          <w:bottom w:w="28" w:type="dxa"/>
          <w:right w:w="28" w:type="dxa"/>
        </w:tblCellMar>
      </w:tblPr>
      <w:tblGrid>
        <w:gridCol w:w="667"/>
        <w:gridCol w:w="587"/>
        <w:gridCol w:w="590"/>
        <w:gridCol w:w="382"/>
        <w:gridCol w:w="382"/>
        <w:gridCol w:w="382"/>
        <w:gridCol w:w="585"/>
        <w:gridCol w:w="585"/>
        <w:gridCol w:w="84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Opendoor Technologies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Christy Schwartz</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Christy Schwartz</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240" w:after="283"/>
        <w:jc w:val="left"/>
        <w:rPr>
          <w:rFonts w:ascii="Times New Roman;serif" w:hAnsi="Times New Roman;serif"/>
          <w:b/>
          <w:color w:val="000000"/>
          <w:sz w:val="26"/>
        </w:rPr>
      </w:pPr>
      <w:r>
        <w:rPr>
          <w:rFonts w:ascii="Times New Roman;serif" w:hAnsi="Times New Roman;serif"/>
          <w:b/>
          <w:color w:val="000000"/>
          <w:sz w:val="26"/>
        </w:rPr>
        <w:t>Q2 2026 Open House: Everything is Up. More Contracts. More Revenue. More Margin. Except Costs. Those are Down.</w:t>
      </w:r>
    </w:p>
    <w:p>
      <w:pPr>
        <w:pStyle w:val="TextBody"/>
        <w:bidi w:val="0"/>
        <w:spacing w:lineRule="auto" w:line="288" w:before="240" w:after="283"/>
        <w:jc w:val="left"/>
        <w:rPr/>
      </w:pPr>
      <w:r>
        <w:rPr>
          <w:rFonts w:ascii="Times New Roman;serif" w:hAnsi="Times New Roman;serif"/>
          <w:b w:val="false"/>
          <w:i/>
          <w:color w:val="000000"/>
          <w:sz w:val="24"/>
        </w:rPr>
        <w:t>Revenue up 23% QoQ. Contribution Profit up 59% QoQ. Contribution Margin up 140bps both QoQ and YoY. Homes purchased up 77% QoQ and 149% YoY. Inventory Health Improved 1% QoQ and 27% YoY. Combined Marketing and Operations per acquisition contract lowest in Company history</w:t>
      </w:r>
      <w:r>
        <w:rPr>
          <w:rFonts w:ascii="Times New Roman;serif" w:hAnsi="Times New Roman;serif"/>
          <w:b w:val="false"/>
          <w:color w:val="000000"/>
          <w:sz w:val="16"/>
        </w:rPr>
        <w:t>1</w:t>
      </w:r>
      <w:r>
        <w:rPr>
          <w:rFonts w:ascii="Times New Roman;serif" w:hAnsi="Times New Roman;serif"/>
          <w:b w:val="false"/>
          <w:i/>
          <w:color w:val="000000"/>
          <w:sz w:val="24"/>
        </w:rPr>
        <w:t>. Opendoor to be ANI positive on a twelve-month go-forward basis at the end of 2026.</w:t>
      </w:r>
    </w:p>
    <w:p>
      <w:pPr>
        <w:pStyle w:val="TextBody"/>
        <w:bidi w:val="0"/>
        <w:spacing w:lineRule="auto" w:line="288" w:before="240" w:after="283"/>
        <w:jc w:val="left"/>
        <w:rPr/>
      </w:pPr>
      <w:r>
        <w:rPr>
          <w:rFonts w:ascii="Times New Roman;serif" w:hAnsi="Times New Roman;serif"/>
          <w:b/>
          <w:color w:val="000000"/>
          <w:sz w:val="24"/>
        </w:rPr>
        <w:t xml:space="preserve">SAN FRANCISCO, California - August 4, 2026 - </w:t>
      </w:r>
      <w:r>
        <w:rPr>
          <w:rFonts w:ascii="Times New Roman;serif" w:hAnsi="Times New Roman;serif"/>
          <w:b w:val="false"/>
          <w:color w:val="000000"/>
          <w:sz w:val="24"/>
        </w:rPr>
        <w:t>Opendoor Technologies Inc. (Nasdaq: OPEN), a leading e-commerce platform for residential real estate transactions, today reported quarterly financial results for its quarter ended June 30, 2026.</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In May, Opendoor set guideposts for Q2 around acquisition contracts, revenue, margin and adjusted EBITDA. Q2 delivered on all four.</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4"/>
        </w:rPr>
        <w:t xml:space="preserve">For three quarters, I’ve been saying Opendoor will be ANI positive on a twelve-month go-forward basis at the end of this year. You no longer have to take my word for it. Run Q2 forward. At current contract volumes and unit economics, and with our existing cost base, we will generate positive Adjusted Net Income as those acquisition cohorts flow through to resale. We are now on a clear path to sustained ANI profitability. That outcome does not require an improved growth engine, margin expansion, or a housing-market recovery. In fact, at this volume, our operating model supports Adjusted Net Income profitability even if contribution margins decline and even if you adjust down for seasonality.” </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4"/>
        </w:rPr>
        <w:t>We built the model to reach profitability without relying on market tailwinds. Against one of the most challenging housing markets in decades - with constrained demand and delistings at record levels - Opendoor delivered exactly what we said we would. We grew acquisitions, expanded contribution margins, and reduced our exposure to housing-market risk. We achieved this through faster inventory turns and by scaling Cash Now, More Later - our capital-light offering that generates attractive returns while placing substantially less capital at risk per home.”</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4"/>
        </w:rPr>
        <w:t>When the product gets better, you don’t need to buy growth with heavy marketing or excess risk. We generated over 6,900 acquisition contracts in Q2 2026 on $5 million of marketing spend. The last time we generated more than 6,000 acquisition contracts, in Q2 2022, we spent $81 million. The alternative to buying growth is earning it by shipping great products.”</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4"/>
        </w:rPr>
        <w:t>We are also seeing early signs that our mortgage product is doing exactly what we built it to do: letting buyers purchase an Opendoor home through a single integrated transaction with an Opendoor mortgage as the default choice. As of today, we expect over half of our scheduled resale closes in Colorado, the first market we launched, to be financed with Opendoor Home Loans. In Texas, which launched just six weeks ago, it is already nearly 1 in 5 of our scheduled resale closes. And that is before the addition of FHA, VA, or adjustable-rate products, which we're shipping now. These percentages will fluctuate, and each state we launch will have its own dynamics. But Texas shows where a market can be just six weeks in, and Colorado shows where one can get to with some seasoning. Neither is a ceiling.”</w:t>
      </w:r>
    </w:p>
    <w:p>
      <w:pPr>
        <w:pStyle w:val="TextBody"/>
        <w:bidi w:val="0"/>
        <w:spacing w:lineRule="auto" w:line="288"/>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Company history refers to the period beginning in Q1 2018, the earliest period for which this metric is available on a consistent basis.</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0520"/>
                <wp:effectExtent l="0" t="0" r="0" b="0"/>
                <wp:wrapNone/>
                <wp:docPr id="4"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We are executing against three management objectives critical to reaching profitability. The table below shows our progress against each objective this quarter.</w:t>
      </w:r>
    </w:p>
    <w:tbl>
      <w:tblPr>
        <w:tblW w:w="10205" w:type="dxa"/>
        <w:jc w:val="left"/>
        <w:tblInd w:w="0" w:type="dxa"/>
        <w:tblLayout w:type="fixed"/>
        <w:tblCellMar>
          <w:top w:w="28" w:type="dxa"/>
          <w:left w:w="28" w:type="dxa"/>
          <w:bottom w:w="28" w:type="dxa"/>
          <w:right w:w="28" w:type="dxa"/>
        </w:tblCellMar>
      </w:tblPr>
      <w:tblGrid>
        <w:gridCol w:w="669"/>
        <w:gridCol w:w="589"/>
        <w:gridCol w:w="590"/>
        <w:gridCol w:w="1652"/>
        <w:gridCol w:w="1411"/>
        <w:gridCol w:w="944"/>
        <w:gridCol w:w="1853"/>
        <w:gridCol w:w="1033"/>
        <w:gridCol w:w="1464"/>
      </w:tblGrid>
      <w:tr>
        <w:trPr/>
        <w:tc>
          <w:tcPr>
            <w:tcW w:w="66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r>
      <w:tr>
        <w:trPr/>
        <w:tc>
          <w:tcPr>
            <w:tcW w:w="18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Management Objective</w:t>
            </w:r>
          </w:p>
        </w:tc>
        <w:tc>
          <w:tcPr>
            <w:tcW w:w="40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How You Can Hold Us Accountable</w:t>
            </w:r>
          </w:p>
        </w:tc>
        <w:tc>
          <w:tcPr>
            <w:tcW w:w="43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How We’re Executing</w:t>
            </w:r>
          </w:p>
        </w:tc>
      </w:tr>
      <w:tr>
        <w:trPr/>
        <w:tc>
          <w:tcPr>
            <w:tcW w:w="18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 Scale Acquisitions</w:t>
            </w:r>
          </w:p>
        </w:tc>
        <w:tc>
          <w:tcPr>
            <w:tcW w:w="40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4"/>
              </w:rPr>
              <w:t>- Acquisition contract dashboard on accountable.opendoor.com.</w:t>
            </w:r>
          </w:p>
          <w:p>
            <w:pPr>
              <w:pStyle w:val="TableContents"/>
              <w:bidi w:val="0"/>
              <w:spacing w:before="0" w:after="0"/>
              <w:jc w:val="left"/>
              <w:rPr/>
            </w:pPr>
            <w:r>
              <w:rPr/>
            </w:r>
          </w:p>
          <w:p>
            <w:pPr>
              <w:pStyle w:val="TableContents"/>
              <w:bidi w:val="0"/>
              <w:spacing w:before="0" w:after="0"/>
              <w:jc w:val="left"/>
              <w:rPr/>
            </w:pPr>
            <w:r>
              <w:rPr/>
            </w:r>
          </w:p>
        </w:tc>
        <w:tc>
          <w:tcPr>
            <w:tcW w:w="43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4"/>
              </w:rPr>
              <w:t>- Homes purchased increased 77% from the prior quarter.</w:t>
            </w:r>
          </w:p>
          <w:p>
            <w:pPr>
              <w:pStyle w:val="TableContents"/>
              <w:bidi w:val="0"/>
              <w:spacing w:before="0" w:after="0"/>
              <w:jc w:val="left"/>
              <w:rPr/>
            </w:pPr>
            <w:r>
              <w:rPr/>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4"/>
              </w:rPr>
              <w:t>- We generated 6,908 acquisition contracts in 2Q26 on $5 million of marketing spend. The last time we topped 6,000 contracts, 2Q22, marketing spend was $81 million.</w:t>
            </w:r>
          </w:p>
        </w:tc>
      </w:tr>
      <w:tr>
        <w:trPr/>
        <w:tc>
          <w:tcPr>
            <w:tcW w:w="18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 Improve Unit Economics and Resale Velocity</w:t>
            </w:r>
          </w:p>
        </w:tc>
        <w:tc>
          <w:tcPr>
            <w:tcW w:w="40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4"/>
              </w:rPr>
              <w:t>- % of Homes on the market for greater than 120 Days (Reported quarterly).</w:t>
            </w:r>
          </w:p>
          <w:p>
            <w:pPr>
              <w:pStyle w:val="TableContents"/>
              <w:bidi w:val="0"/>
              <w:spacing w:before="0" w:after="0"/>
              <w:jc w:val="left"/>
              <w:rPr/>
            </w:pPr>
            <w:r>
              <w:rPr/>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4"/>
              </w:rPr>
              <w:t>- Product, feature &amp; partnership launches tracked on accountable.opendoor.com</w:t>
            </w:r>
          </w:p>
        </w:tc>
        <w:tc>
          <w:tcPr>
            <w:tcW w:w="43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4"/>
              </w:rPr>
              <w:t>- % of homes on the market over 120 Days declined from 10% to 9% quarter-over-quarter, compared to 27% for the overall market.</w:t>
            </w:r>
          </w:p>
          <w:p>
            <w:pPr>
              <w:pStyle w:val="TableContents"/>
              <w:bidi w:val="0"/>
              <w:spacing w:before="0" w:after="0"/>
              <w:jc w:val="left"/>
              <w:rPr/>
            </w:pPr>
            <w:r>
              <w:rPr/>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4"/>
              </w:rPr>
              <w:t>- As of today, we expect over half of all our scheduled resale closes in Colorado to be financed with Opendoor Home Loans.</w:t>
            </w:r>
          </w:p>
          <w:p>
            <w:pPr>
              <w:pStyle w:val="TableContents"/>
              <w:bidi w:val="0"/>
              <w:spacing w:before="0" w:after="0"/>
              <w:jc w:val="left"/>
              <w:rPr/>
            </w:pPr>
            <w:r>
              <w:rPr/>
            </w:r>
          </w:p>
        </w:tc>
      </w:tr>
      <w:tr>
        <w:trPr/>
        <w:tc>
          <w:tcPr>
            <w:tcW w:w="1848" w:type="dxa"/>
            <w:gridSpan w:val="3"/>
            <w:vMerge w:val="restart"/>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 Build Operating Leverage</w:t>
            </w:r>
            <w:r>
              <w:rPr>
                <w:rFonts w:ascii="Times New Roman;serif" w:hAnsi="Times New Roman;serif"/>
                <w:b w:val="false"/>
                <w:color w:val="000000"/>
                <w:sz w:val="16"/>
              </w:rPr>
              <w:t>2</w:t>
            </w:r>
          </w:p>
        </w:tc>
        <w:tc>
          <w:tcPr>
            <w:tcW w:w="4007"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 Fixed operating expenses hold relatively steady as we rescale volumes (Reported quarterly).</w:t>
            </w:r>
          </w:p>
        </w:tc>
        <w:tc>
          <w:tcPr>
            <w:tcW w:w="43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4"/>
              </w:rPr>
              <w:t>- Operations expense per acquisition close was $3.0 thousand in 2Q26, down from $5.0 thousand in 1Q26 and $8.4 thousand in 2Q25.</w:t>
            </w:r>
            <w:r>
              <w:rPr>
                <w:rFonts w:ascii="Times New Roman;serif" w:hAnsi="Times New Roman;serif"/>
                <w:b w:val="false"/>
                <w:color w:val="000000"/>
                <w:sz w:val="16"/>
              </w:rPr>
              <w:t>3</w:t>
            </w:r>
          </w:p>
        </w:tc>
      </w:tr>
      <w:tr>
        <w:trPr/>
        <w:tc>
          <w:tcPr>
            <w:tcW w:w="1848" w:type="dxa"/>
            <w:gridSpan w:val="3"/>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4007"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435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4"/>
              </w:rPr>
              <w:t>- Fixed operating expenses held steady at $35 million in 2Q26 compared to $33 million in 1Q26, up only $2 million quarter-over-quarter.</w:t>
            </w:r>
          </w:p>
          <w:p>
            <w:pPr>
              <w:pStyle w:val="TableContents"/>
              <w:bidi w:val="0"/>
              <w:spacing w:before="0" w:after="0"/>
              <w:jc w:val="left"/>
              <w:rPr/>
            </w:pPr>
            <w:r>
              <w:rPr/>
            </w:r>
          </w:p>
        </w:tc>
      </w:tr>
      <w:tr>
        <w:trPr/>
        <w:tc>
          <w:tcPr>
            <w:tcW w:w="1848" w:type="dxa"/>
            <w:gridSpan w:val="3"/>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4007"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 Trailing 12-month operations expense as a % of trailing 12-month revenue holds relatively steady or decreases over time. (Reported quarterly.)</w:t>
            </w:r>
          </w:p>
        </w:tc>
        <w:tc>
          <w:tcPr>
            <w:tcW w:w="4350" w:type="dxa"/>
            <w:gridSpan w:val="3"/>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4"/>
              </w:rPr>
              <w:t>- Trailing 12-month operations expense as a % of revenue increased to 1.6% in 2Q26 compared to 1.3% in 1Q26. Trailing 12-month operations expense decreased modestly to $51 million in 2Q26 from $52 million in 1Q26.</w:t>
            </w:r>
          </w:p>
          <w:p>
            <w:pPr>
              <w:pStyle w:val="TableContents"/>
              <w:bidi w:val="0"/>
              <w:spacing w:before="0" w:after="0"/>
              <w:jc w:val="left"/>
              <w:rPr/>
            </w:pPr>
            <w:r>
              <w:rPr/>
            </w:r>
          </w:p>
        </w:tc>
      </w:tr>
    </w:tbl>
    <w:p>
      <w:pPr>
        <w:pStyle w:val="TextBody"/>
        <w:bidi w:val="0"/>
        <w:spacing w:lineRule="auto" w:line="288" w:before="0" w:after="0"/>
        <w:jc w:val="left"/>
        <w:rPr/>
      </w:pP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0"/>
        </w:rPr>
        <w:t>See Segment Information table.</w:t>
      </w:r>
    </w:p>
    <w:p>
      <w:pPr>
        <w:pStyle w:val="TextBody"/>
        <w:bidi w:val="0"/>
        <w:spacing w:lineRule="auto" w:line="288" w:before="0" w:after="0"/>
        <w:jc w:val="left"/>
        <w:rPr/>
      </w:pPr>
      <w:r>
        <w:rPr>
          <w:rFonts w:ascii="Times New Roman;serif" w:hAnsi="Times New Roman;serif"/>
          <w:b w:val="false"/>
          <w:color w:val="000000"/>
          <w:sz w:val="16"/>
        </w:rPr>
        <w:t>3</w:t>
      </w:r>
      <w:r>
        <w:rPr>
          <w:color w:val="000000"/>
        </w:rPr>
        <w:t xml:space="preserve"> </w:t>
      </w:r>
      <w:r>
        <w:rPr>
          <w:rFonts w:ascii="Times New Roman;serif" w:hAnsi="Times New Roman;serif"/>
          <w:b w:val="false"/>
          <w:color w:val="000000"/>
          <w:sz w:val="20"/>
        </w:rPr>
        <w:t>Calculated using unrounded amounts. Amounts presented elsewhere are rounded to millions and may not recalculate.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0520"/>
                <wp:effectExtent l="0" t="0" r="0" b="0"/>
                <wp:wrapNone/>
                <wp:docPr id="5"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83"/>
        <w:jc w:val="left"/>
        <w:rPr>
          <w:rFonts w:ascii="Times New Roman;serif" w:hAnsi="Times New Roman;serif"/>
          <w:b/>
          <w:color w:val="000000"/>
          <w:sz w:val="24"/>
        </w:rPr>
      </w:pPr>
      <w:r>
        <w:rPr>
          <w:rFonts w:ascii="Times New Roman;serif" w:hAnsi="Times New Roman;serif"/>
          <w:b/>
          <w:color w:val="000000"/>
          <w:sz w:val="24"/>
        </w:rPr>
        <w:t>Second Quarter 2026 Key Highlights</w:t>
      </w:r>
    </w:p>
    <w:tbl>
      <w:tblPr>
        <w:tblW w:w="9810" w:type="dxa"/>
        <w:jc w:val="left"/>
        <w:tblInd w:w="0" w:type="dxa"/>
        <w:tblLayout w:type="fixed"/>
        <w:tblCellMar>
          <w:top w:w="28" w:type="dxa"/>
          <w:left w:w="28" w:type="dxa"/>
          <w:bottom w:w="28" w:type="dxa"/>
          <w:right w:w="28" w:type="dxa"/>
        </w:tblCellMar>
      </w:tblPr>
      <w:tblGrid>
        <w:gridCol w:w="1631"/>
        <w:gridCol w:w="1432"/>
        <w:gridCol w:w="1437"/>
        <w:gridCol w:w="109"/>
        <w:gridCol w:w="109"/>
        <w:gridCol w:w="109"/>
        <w:gridCol w:w="217"/>
        <w:gridCol w:w="618"/>
        <w:gridCol w:w="284"/>
        <w:gridCol w:w="121"/>
        <w:gridCol w:w="121"/>
        <w:gridCol w:w="121"/>
        <w:gridCol w:w="121"/>
        <w:gridCol w:w="109"/>
        <w:gridCol w:w="109"/>
        <w:gridCol w:w="109"/>
        <w:gridCol w:w="109"/>
        <w:gridCol w:w="109"/>
        <w:gridCol w:w="196"/>
        <w:gridCol w:w="556"/>
        <w:gridCol w:w="256"/>
        <w:gridCol w:w="109"/>
        <w:gridCol w:w="109"/>
        <w:gridCol w:w="109"/>
        <w:gridCol w:w="196"/>
        <w:gridCol w:w="496"/>
        <w:gridCol w:w="109"/>
        <w:gridCol w:w="109"/>
        <w:gridCol w:w="109"/>
        <w:gridCol w:w="109"/>
        <w:gridCol w:w="109"/>
        <w:gridCol w:w="109"/>
        <w:gridCol w:w="154"/>
      </w:tblGrid>
      <w:tr>
        <w:trPr/>
        <w:tc>
          <w:tcPr>
            <w:tcW w:w="1631"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827" w:type="dxa"/>
            <w:gridSpan w:val="12"/>
            <w:tcBorders/>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(In millions, except percentages and non-dollar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2,339 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Homes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4,378 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Homes in inventory (at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5,459 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(at period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Homes under contract to purchase (at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2,310 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Non-GAAP Financial Highlights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Contribution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20"/>
        </w:rPr>
        <w:t>See “—</w:t>
      </w:r>
      <w:r>
        <w:rPr>
          <w:rFonts w:ascii="Times New Roman;serif" w:hAnsi="Times New Roman;serif"/>
          <w:b w:val="false"/>
          <w:i/>
          <w:color w:val="000000"/>
          <w:sz w:val="20"/>
        </w:rPr>
        <w:t>Use of Non-GAAP Financial Measures</w:t>
      </w:r>
      <w:r>
        <w:rPr>
          <w:color w:val="000000"/>
        </w:rPr>
        <w:t xml:space="preserve">” </w:t>
      </w:r>
      <w:r>
        <w:rPr>
          <w:rFonts w:ascii="Times New Roman;serif" w:hAnsi="Times New Roman;serif"/>
          <w:b w:val="false"/>
          <w:color w:val="000000"/>
          <w:sz w:val="20"/>
        </w:rPr>
        <w:t>for further details and a reconciliation of such non-GAAP measures to their nearest comparable GAAP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4"/>
        </w:rPr>
        <w:t>Guide Posts</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We're focused on making the right long-term decisions to rebuild Opendoor rather than managing short-term guidance. We're making meaningful progress and remain focused on execution. With that context, we want to provide you with the following guideposts: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We are driving to Adjusted Net Income positive by the end of 2026, measured on a twelve-month go-forward basis.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Q3 2026 Outlook:</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4"/>
        </w:rPr>
        <w:t>Acquisitions:</w:t>
      </w:r>
      <w:r>
        <w:rPr>
          <w:color w:val="000000"/>
        </w:rPr>
        <w:t xml:space="preserve"> </w:t>
      </w:r>
      <w:r>
        <w:rPr>
          <w:rFonts w:ascii="Times New Roman;serif" w:hAnsi="Times New Roman;serif"/>
          <w:b w:val="false"/>
          <w:color w:val="000000"/>
          <w:sz w:val="24"/>
        </w:rPr>
        <w:t>You can track our acquisition contracts on accountable.opendoor.com</w:t>
      </w:r>
      <w:r>
        <w:rPr>
          <w:rFonts w:ascii="Times New Roman;serif" w:hAnsi="Times New Roman;serif"/>
          <w:b w:val="false"/>
          <w:color w:val="000000"/>
          <w:sz w:val="13"/>
        </w:rPr>
        <w:t>4</w:t>
      </w:r>
      <w:r>
        <w:rPr>
          <w:rFonts w:ascii="Times New Roman;serif" w:hAnsi="Times New Roman;serif"/>
          <w:b w:val="false"/>
          <w:color w:val="000000"/>
          <w:sz w:val="24"/>
        </w:rPr>
        <w:t>.</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4"/>
        </w:rPr>
        <w:t>Revenue:</w:t>
      </w:r>
      <w:r>
        <w:rPr>
          <w:color w:val="000000"/>
        </w:rPr>
        <w:t xml:space="preserve"> </w:t>
      </w:r>
      <w:r>
        <w:rPr>
          <w:rFonts w:ascii="Times New Roman;serif" w:hAnsi="Times New Roman;serif"/>
          <w:b w:val="false"/>
          <w:color w:val="000000"/>
          <w:sz w:val="24"/>
        </w:rPr>
        <w:t>We expect revenue to increase at least 20% year-over-year.</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4"/>
        </w:rPr>
        <w:t>Contribution Profit</w:t>
      </w:r>
      <w:r>
        <w:rPr>
          <w:rFonts w:ascii="Times New Roman;serif" w:hAnsi="Times New Roman;serif"/>
          <w:b w:val="false"/>
          <w:color w:val="000000"/>
          <w:sz w:val="13"/>
        </w:rPr>
        <w:t>5</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We expect Contribution Profit dollars to more than double year over year. We expect Contribution Margin to be around 4% to 4.5%. While Q3 is historically a seasonally weaker margin quarter - with historical Q2-to-Q3 contribution margin drops </w:t>
      </w:r>
    </w:p>
    <w:p>
      <w:pPr>
        <w:pStyle w:val="TextBody"/>
        <w:bidi w:val="0"/>
        <w:spacing w:lineRule="auto" w:line="288" w:before="0" w:after="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The estimates and information presented at accountable.opendoor.com rely on assumptions and are subject to limitations; accordingly, no guarantee is made as to their accuracy. Acquisition contract volume represents contracts under which Opendoor has agreed to acquire a property, including through its Cash Now, More Later program, and does not reflect contracts that are subsequently cancelled.</w:t>
      </w:r>
    </w:p>
    <w:p>
      <w:pPr>
        <w:pStyle w:val="TextBody"/>
        <w:bidi w:val="0"/>
        <w:spacing w:lineRule="auto" w:line="288"/>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Opendoor has not provided a quantitative reconciliation of forecasted Contribution Profit to forecasted Gross Profit, forecasted Contribution Margin to forecasted GAAP gross margin, nor a reconciliation of forecasted Adjusted EBITDA to forecasted GAAP net income (loss) within this press release because the Company is unable, without making unreasonable efforts, to calculate certain reconciling items with confidence. These items include, but are not limited to, inventory valuation adjustment and equity securities fair value adjustment. These items, which could materially affect the computation of forward-looking GAAP gross profit (loss), GAAP gross margin, and net income (loss), are inherently uncertain and depend on various factors, some of which are outside of the Company’s control. For more information regarding the non-GAAP financial measures discussed in this press release, please see “Use of Non-GAAP Financial Measures” following the financial tables below.</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0520"/>
                <wp:effectExtent l="0" t="0" r="0" b="0"/>
                <wp:wrapNone/>
                <wp:docPr id="6"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averaging nearly 500 basis points, excluding 2023 - this year’s expected sequential decline is significantly narrower, reflecting the structural health of our underlying cohorts.</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4"/>
        </w:rPr>
        <w:t>Adjusted EBITDA</w:t>
      </w:r>
      <w:r>
        <w:rPr>
          <w:rFonts w:ascii="Times New Roman;serif" w:hAnsi="Times New Roman;serif"/>
          <w:b w:val="false"/>
          <w:color w:val="000000"/>
          <w:sz w:val="16"/>
        </w:rPr>
        <w:t>5</w:t>
      </w:r>
      <w:r>
        <w:rPr>
          <w:rFonts w:ascii="Times New Roman;serif" w:hAnsi="Times New Roman;serif"/>
          <w:b w:val="false"/>
          <w:color w:val="000000"/>
          <w:sz w:val="24"/>
        </w:rPr>
        <w:t xml:space="preserve">: We continue to expect to be Adjusted EBITDA profitable on a twelve-month go-forward basis as of Q2 2026. </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4"/>
        </w:rPr>
        <w:t>Stock-Based Compensation</w:t>
      </w:r>
      <w:r>
        <w:rPr>
          <w:rFonts w:ascii="Times New Roman;serif" w:hAnsi="Times New Roman;serif"/>
          <w:b w:val="false"/>
          <w:color w:val="000000"/>
          <w:sz w:val="24"/>
        </w:rPr>
        <w:t>: We expect Q3 SBC of approximately $110 million.</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You can continue to follow our progress on home acquisition contracts and product and feature launches every single week at accountable.opendoor.com.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u w:val="single"/>
        </w:rPr>
      </w:pPr>
      <w:r>
        <w:rPr>
          <w:rFonts w:ascii="Times New Roman;serif" w:hAnsi="Times New Roman;serif"/>
          <w:b/>
          <w:color w:val="000000"/>
          <w:sz w:val="24"/>
          <w:u w:val="single"/>
        </w:rPr>
        <w:t>Conference Call and Webcast Details</w:t>
      </w:r>
    </w:p>
    <w:p>
      <w:pPr>
        <w:pStyle w:val="TextBody"/>
        <w:bidi w:val="0"/>
        <w:spacing w:lineRule="auto" w:line="288" w:before="120" w:after="283"/>
        <w:jc w:val="left"/>
        <w:rPr/>
      </w:pPr>
      <w:r>
        <w:rPr>
          <w:rFonts w:ascii="Times New Roman;serif" w:hAnsi="Times New Roman;serif"/>
          <w:b w:val="false"/>
          <w:color w:val="000000"/>
          <w:sz w:val="24"/>
        </w:rPr>
        <w:t>Opendoor will host a webcast to discuss its financial results on August 4, 2026, at 2:00 p.m. Pacific Time. A live webcast of the call can be accessed from Opendoor’s Investor Relations website at https://investor.opendoor.com. An archived version of the webcast will be available from the same website after the call.</w:t>
      </w:r>
      <w:r>
        <w:rPr>
          <w:color w:val="000000"/>
        </w:rPr>
        <w:t xml:space="preserve"> </w:t>
      </w:r>
    </w:p>
    <w:p>
      <w:pPr>
        <w:pStyle w:val="TextBody"/>
        <w:bidi w:val="0"/>
        <w:spacing w:lineRule="auto" w:line="288" w:before="240" w:after="283"/>
        <w:jc w:val="left"/>
        <w:rPr>
          <w:rFonts w:ascii="Times New Roman;serif" w:hAnsi="Times New Roman;serif"/>
          <w:b/>
          <w:color w:val="000000"/>
          <w:sz w:val="24"/>
          <w:u w:val="single"/>
        </w:rPr>
      </w:pPr>
      <w:r>
        <w:rPr>
          <w:rFonts w:ascii="Times New Roman;serif" w:hAnsi="Times New Roman;serif"/>
          <w:b/>
          <w:color w:val="000000"/>
          <w:sz w:val="24"/>
          <w:u w:val="single"/>
        </w:rPr>
        <w:t>About Opendoor</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Opendoor’s mission is to tilt the world in favor of homeowners, by making homeownership simpler, faster, and fairer for everyone. Since 2014, the Company has provided people across the U.S. with a simpler, more certain way to sell and buy a home. Opendoor currently operates in markets nationwide. For more information, please visit www.opendoor.com.</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Opendoor investors and others should note that we have used, and intend to continue to use, our website (including accountable.opendoor.com and investor.opendoor.com), press releases, Securities and Exchange Commission (“SEC”) filings, blogs, community hub and social media accounts, as well as the X (formerly known as Twitter) accounts of its Chief Executive Officer, @Nejatian, and @Opendoor, as means of disclosing material non-public information and for complying with its disclosure obligations under Regulation FD. Opendoor encourages investors and others to review the information Opendoor makes public in the foregoing locations as such information could be deemed to be material information. Please note that this list may be updated from time to time. Investors should subscribe to these social media accounts and Opendoor’s investor alerts, in addition to following its press releases, SEC filings, public conference calls and webcasts.</w:t>
      </w:r>
    </w:p>
    <w:p>
      <w:pPr>
        <w:pStyle w:val="TextBody"/>
        <w:bidi w:val="0"/>
        <w:spacing w:lineRule="auto" w:line="288" w:before="240" w:after="283"/>
        <w:jc w:val="left"/>
        <w:rPr>
          <w:rFonts w:ascii="Times New Roman;serif" w:hAnsi="Times New Roman;serif"/>
          <w:b/>
          <w:color w:val="000000"/>
          <w:sz w:val="24"/>
          <w:u w:val="single"/>
        </w:rPr>
      </w:pPr>
      <w:r>
        <w:rPr>
          <w:rFonts w:ascii="Times New Roman;serif" w:hAnsi="Times New Roman;serif"/>
          <w:b/>
          <w:color w:val="000000"/>
          <w:sz w:val="24"/>
          <w:u w:val="single"/>
        </w:rPr>
        <w:t>Forward Looking Statements</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This press release contains certain forward-looking statements within the meaning of Section 27A the Private Securities Litigation Reform Act of 1995, as amended. All statements contained in this press release that do not relate to matters of historical fact should be considered forward-looking, including statements regarding our fiscal 2026 and third quarter of 2026 financial outlook; whether we are able to operate a level consistent with positive adjusted EBITDA or positive Adjusted Net Income going forward; scaling acquisitions, improving unit economics and resale velocity, and building operating leverage; transitioning to direct-to-consumer relationships and expanding our product suite; our future product offerings, including mortgage products and our ability to leverage AI to drive operational efficiency; the future health and status of our financial condition; and our business strategy and plans, including plans to continue to invest in and enhance our products. These forward-looking statements generally are identified by the words “anticipate”, “believe”, “contemplate”, “continue”, “could”, “estimate”, “expect”, “forecast”, “future”, “guidance”, “intend”, “may”, “might”, “opportunity”, “outlook”, “plan”, “possible”, “potential”, “predict”, “project”, “should”, “strategy”, “strive”, “target”, “vision”, “will”, or “would”, any negative of these words or other similar terms or expressions. The absence of these words does not mean that a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0520"/>
                <wp:effectExtent l="0" t="0" r="0" b="0"/>
                <wp:wrapNone/>
                <wp:docPr id="7"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statement is not forward-looking. Forward-looking statements are predictions, projections and other statements about future events that are based on current expectations and assumptions and, as a result, are subject to risks and uncertainties that can cause actual results to differ materially from those in such forward-looking statements. The factors that could cause or contribute to actual future events to differ materially from the forward-looking statements in this press release include but are not limited to: our ability to implement our strategy; the current and future health and stability of the economy, financial conditions and residential housing market, including any extended downturns or slowdowns; changes in general economic and financial conditions (including federal monetary policy, the imposition of tariffs and price or exchange controls, interest rates, inflation, actual or anticipated recession, home price fluctuations, and housing inventory), as well as the probability of such changes occurring, that impact demand for our products and services, lower our profitability or reduce our access to future financings; actual or anticipated fluctuations in our financial condition and results of operations; changes in projected operational and financial results; our real estate assets and increased competition in the U.S. residential real estate industry; our ability to operate and grow our core business products, including the ability to obtain sufficient financing and resell purchased homes; investment of resources to pursue strategies and develop new products and services that may not prove effective or that are not attractive to customers and/or partners or that do not allow us to compete successfully; our ability to acquire and resell homes profitably; our ability to grow market share; our ability to leverage AI to drive operational efficiency; our ability to manage our growth effectively; our ability to expeditiously sell and appropriately price our inventory; our ability to access sources of capital, including debt financing to finance our real estate inventories and other sources of capital to finance operations and growth; our ability to maintain liquidity and to raise the funds necessary for any cash settlement upon conversion of our outstanding convertible notes or upon repurchasing our outstanding convertible notes; development and performance of our mortgage products; any dilutive effect on our common stock upon any settlement of our outstanding convertible notes through the conversion of notes into shares of our common stock; our ability to maintain and enhance our products and brand, and to attract customers; our ability to manage, develop and refine our digital platform, including our automated pricing and valuation technology; our ability to realize expected benefits from our restructuring and cost reduction efforts; our ability to comply with multiple listing service rules and requirements to access and use listing data, and to maintain or establish relationships with listings and data providers; our ability to obtain or maintain licenses and permits to support our current and future business operations; acquisitions, strategic partnerships, joint ventures, capital-raising activities or other corporate transactions or commitments by us or our competitors; actual or anticipated changes in technology, products, markets or services by us or our competitors; our ability to protect our brand and intellectual property; our success in retaining or recruiting, or changes required in, our officers, key employees and/or directors; the impact of the regulatory environment and potential regulatory instability within our industry and complexities with compliance related to such environment; any future impact of pandemics, epidemics, or other public health crises on our ability to operate, demand for our products and services, or general economic conditions; our ability to maintain our listing on the Nasdaq Global Select Market; changes in laws or government regulation affecting our business; the impact of pending or future litigation or regulatory actions; and the volatility in the price of our common stock and warrants. The foregoing list of factors is not exhaustive. You should carefully consider the foregoing factors and the other risks and uncertainties described under the caption “Risk Factors” in our most recent Annual Report on Form 10-K filed with the Securities and Exchange Commission (the “SEC”) on February 19, 2026, as updated by our periodic reports and other filings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except as required by law, we assume no obligation and do not intend to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0520"/>
                <wp:effectExtent l="0" t="0" r="0" b="0"/>
                <wp:wrapNone/>
                <wp:docPr id="8"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update or revise these forward-looking statements, whether as a result of new information, future events, or otherwise. We do not give any assurance that we will achieve our expectations.</w:t>
      </w:r>
    </w:p>
    <w:p>
      <w:pPr>
        <w:pStyle w:val="TextBody"/>
        <w:bidi w:val="0"/>
        <w:spacing w:lineRule="auto" w:line="288" w:before="240" w:after="283"/>
        <w:jc w:val="left"/>
        <w:rPr>
          <w:rFonts w:ascii="Times New Roman;serif" w:hAnsi="Times New Roman;serif"/>
          <w:b/>
          <w:color w:val="000000"/>
          <w:sz w:val="24"/>
          <w:u w:val="single"/>
        </w:rPr>
      </w:pPr>
      <w:r>
        <w:rPr>
          <w:rFonts w:ascii="Times New Roman;serif" w:hAnsi="Times New Roman;serif"/>
          <w:b/>
          <w:color w:val="000000"/>
          <w:sz w:val="24"/>
          <w:u w:val="single"/>
        </w:rPr>
        <w:t>Contact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Investors: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investors@opendoor.com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Media: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Contact Kaz on X @Nejatian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0520"/>
                <wp:effectExtent l="0" t="0" r="0" b="0"/>
                <wp:wrapNone/>
                <wp:docPr id="9"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FINANCIAL HIGHLIGHTS AND OPERATING METRICS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 except percentages, homes sold, homes purchased, and homes in inventory)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17"/>
        <w:gridCol w:w="805"/>
        <w:gridCol w:w="808"/>
        <w:gridCol w:w="109"/>
        <w:gridCol w:w="109"/>
        <w:gridCol w:w="109"/>
        <w:gridCol w:w="196"/>
        <w:gridCol w:w="556"/>
        <w:gridCol w:w="256"/>
        <w:gridCol w:w="109"/>
        <w:gridCol w:w="109"/>
        <w:gridCol w:w="109"/>
        <w:gridCol w:w="196"/>
        <w:gridCol w:w="556"/>
        <w:gridCol w:w="256"/>
        <w:gridCol w:w="109"/>
        <w:gridCol w:w="109"/>
        <w:gridCol w:w="109"/>
        <w:gridCol w:w="196"/>
        <w:gridCol w:w="592"/>
        <w:gridCol w:w="256"/>
        <w:gridCol w:w="109"/>
        <w:gridCol w:w="109"/>
        <w:gridCol w:w="109"/>
        <w:gridCol w:w="204"/>
        <w:gridCol w:w="579"/>
        <w:gridCol w:w="266"/>
        <w:gridCol w:w="109"/>
        <w:gridCol w:w="109"/>
        <w:gridCol w:w="109"/>
        <w:gridCol w:w="196"/>
        <w:gridCol w:w="556"/>
        <w:gridCol w:w="256"/>
        <w:gridCol w:w="109"/>
        <w:gridCol w:w="109"/>
        <w:gridCol w:w="109"/>
        <w:gridCol w:w="109"/>
        <w:gridCol w:w="109"/>
        <w:gridCol w:w="109"/>
        <w:gridCol w:w="109"/>
        <w:gridCol w:w="160"/>
      </w:tblGrid>
      <w:tr>
        <w:trPr/>
        <w:tc>
          <w:tcPr>
            <w:tcW w:w="917"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5"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25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(In millions, except percentages and non-dollar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Homes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Homes in inventory (at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(at period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Percentage of homes “on the market” for greater than 120 days (at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Non-GAAP Financial Highlights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Contribution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20"/>
        </w:rPr>
        <w:t>See “—</w:t>
      </w:r>
      <w:r>
        <w:rPr>
          <w:rFonts w:ascii="Times New Roman;serif" w:hAnsi="Times New Roman;serif"/>
          <w:b w:val="false"/>
          <w:i/>
          <w:color w:val="000000"/>
          <w:sz w:val="20"/>
        </w:rPr>
        <w:t>Use of Non-GAAP Financial Measures</w:t>
      </w:r>
      <w:r>
        <w:rPr>
          <w:color w:val="000000"/>
        </w:rPr>
        <w:t xml:space="preserve">” </w:t>
      </w:r>
      <w:r>
        <w:rPr>
          <w:rFonts w:ascii="Times New Roman;serif" w:hAnsi="Times New Roman;serif"/>
          <w:b w:val="false"/>
          <w:color w:val="000000"/>
          <w:sz w:val="20"/>
        </w:rPr>
        <w:t>for further details and a reconciliation of such non-GAAP measures to their nearest comparable GAAP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0520"/>
                <wp:effectExtent l="0" t="0" r="0" b="0"/>
                <wp:wrapNone/>
                <wp:docPr id="10" name="Frame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 except share amounts which are presented in thousands, and per share amounts)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p>
      <w:pPr>
        <w:pStyle w:val="TextBody"/>
        <w:bidi w:val="0"/>
        <w:spacing w:before="0" w:after="0"/>
        <w:jc w:val="center"/>
        <w:rPr/>
      </w:pPr>
      <w:r>
        <w:rPr/>
      </w:r>
    </w:p>
    <w:tbl>
      <w:tblPr>
        <w:tblW w:w="10387" w:type="dxa"/>
        <w:jc w:val="left"/>
        <w:tblInd w:w="0" w:type="dxa"/>
        <w:tblLayout w:type="fixed"/>
        <w:tblCellMar>
          <w:top w:w="28" w:type="dxa"/>
          <w:left w:w="28" w:type="dxa"/>
          <w:bottom w:w="28" w:type="dxa"/>
          <w:right w:w="28" w:type="dxa"/>
        </w:tblCellMar>
      </w:tblPr>
      <w:tblGrid>
        <w:gridCol w:w="978"/>
        <w:gridCol w:w="512"/>
        <w:gridCol w:w="326"/>
        <w:gridCol w:w="262"/>
        <w:gridCol w:w="564"/>
        <w:gridCol w:w="109"/>
        <w:gridCol w:w="109"/>
        <w:gridCol w:w="109"/>
        <w:gridCol w:w="109"/>
        <w:gridCol w:w="293"/>
        <w:gridCol w:w="533"/>
        <w:gridCol w:w="109"/>
        <w:gridCol w:w="109"/>
        <w:gridCol w:w="109"/>
        <w:gridCol w:w="109"/>
        <w:gridCol w:w="211"/>
        <w:gridCol w:w="631"/>
        <w:gridCol w:w="109"/>
        <w:gridCol w:w="109"/>
        <w:gridCol w:w="109"/>
        <w:gridCol w:w="109"/>
        <w:gridCol w:w="275"/>
        <w:gridCol w:w="55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marketing and operations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EXTINGUISHMENT OF DEBT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 Net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16"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shareholders:</w:t>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0520"/>
                <wp:effectExtent l="0" t="0" r="0" b="0"/>
                <wp:wrapNone/>
                <wp:docPr id="11" name="Frame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pPr>
      <w:r>
        <w:rPr>
          <w:rFonts w:ascii="Times New Roman;serif" w:hAnsi="Times New Roman;serif"/>
          <w:b w:val="false"/>
          <w:color w:val="000000"/>
          <w:sz w:val="18"/>
        </w:rPr>
        <w:t xml:space="preserve">(In millions, except </w:t>
      </w:r>
      <w:r>
        <w:rPr>
          <w:rFonts w:ascii="Times New Roman;serif" w:hAnsi="Times New Roman;serif"/>
          <w:b w:val="false"/>
          <w:color w:val="000000"/>
          <w:sz w:val="20"/>
        </w:rPr>
        <w:t>s</w:t>
      </w:r>
      <w:r>
        <w:rPr>
          <w:rFonts w:ascii="Times New Roman;serif" w:hAnsi="Times New Roman;serif"/>
          <w:b w:val="false"/>
          <w:color w:val="000000"/>
          <w:sz w:val="18"/>
        </w:rPr>
        <w:t>hare data)</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980"/>
        <w:gridCol w:w="2325"/>
        <w:gridCol w:w="2358"/>
        <w:gridCol w:w="109"/>
        <w:gridCol w:w="109"/>
        <w:gridCol w:w="109"/>
        <w:gridCol w:w="196"/>
        <w:gridCol w:w="556"/>
        <w:gridCol w:w="109"/>
        <w:gridCol w:w="109"/>
        <w:gridCol w:w="109"/>
        <w:gridCol w:w="109"/>
        <w:gridCol w:w="221"/>
        <w:gridCol w:w="629"/>
        <w:gridCol w:w="177"/>
      </w:tblGrid>
      <w:tr>
        <w:trPr/>
        <w:tc>
          <w:tcPr>
            <w:tcW w:w="2980"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Escrow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inventory,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2,299 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 OF 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Non-recourse asset-backed debt –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Convertible senior notes – current portion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 –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NON-RECOURSE ASSET-BACKED DEBT –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 –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Common stock, $0.0001 par value; 3,000,000,000 shares authorized; 968,626,958 and 957,245,487 shares issued, respectively; 968,626,958 and 957,245,487 shares outstanding,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6,038 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(5,033)</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shareholders’ equity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2,407 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0520"/>
                <wp:effectExtent l="0" t="0" r="0" b="0"/>
                <wp:wrapNone/>
                <wp:docPr id="12" name="Frame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971"/>
        <w:gridCol w:w="2594"/>
        <w:gridCol w:w="2607"/>
        <w:gridCol w:w="196"/>
        <w:gridCol w:w="493"/>
        <w:gridCol w:w="109"/>
        <w:gridCol w:w="109"/>
        <w:gridCol w:w="109"/>
        <w:gridCol w:w="109"/>
        <w:gridCol w:w="196"/>
        <w:gridCol w:w="556"/>
        <w:gridCol w:w="156"/>
      </w:tblGrid>
      <w:tr>
        <w:trPr/>
        <w:tc>
          <w:tcPr>
            <w:tcW w:w="2971"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8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8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7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cash, cash equivalents, and restricted cash (used in) provided by operating activities:</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w:t>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right of use asset</w:t>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 valuation adjustment</w:t>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equity securities</w:t>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(gain) on early extinguishment of debt</w:t>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Origination of mortgage loans held for sale</w:t>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and principal collections of mortgage loans held for sale</w:t>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Escrow receivable</w:t>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inventory</w:t>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other accrued liabilities</w:t>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payable</w:t>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w:t>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provided by operating activities</w:t>
            </w:r>
          </w:p>
        </w:tc>
        <w:tc>
          <w:tcPr>
            <w:tcW w:w="6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7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property and equipment</w:t>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maturities, redemptions and paydowns of marketable securities</w:t>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non-marketable equity securities</w:t>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provided by investing activities</w:t>
            </w:r>
          </w:p>
        </w:tc>
        <w:tc>
          <w:tcPr>
            <w:tcW w:w="6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convertible senior notes, net of discount</w:t>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for ESPP</w:t>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non-recourse asset-backed debt</w:t>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non-recourse asset-backed debt</w:t>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loan origination fees and debt issuance costs</w:t>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6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INCREASE IN CASH, CASH EQUIVALENTS, AND RESTRICTED CASH</w:t>
            </w:r>
          </w:p>
        </w:tc>
        <w:tc>
          <w:tcPr>
            <w:tcW w:w="6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 Beginning of period</w:t>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 OF CASH FLOW INFORMATION – Cash paid during the period for interest</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DISCLOSURES OF NONCASH INVESTING AND FINANCING ACTIVITIES:</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 capitalized for internally developed software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Principal value of 2026 Notes extinguished in Debt Exchange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Principal value of 2030 Notes issued in Debt Exchange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8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RECONCILIATION TO CONDENSED CONSOLIDATED BALANCE SHEETS:</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0520"/>
                <wp:effectExtent l="0" t="0" r="0" b="0"/>
                <wp:wrapNone/>
                <wp:docPr id="13" name="Frame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Use of Non-GAAP Financial Measures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To provide investors with additional information regarding the Company’s financial results, this press release includes references to certain non-GAAP financial measures that are used by management. The Company believes these non-GAAP financial measures including Adjusted Gross Profit, Contribution Profit, Adjusted Net Loss, Adjusted EBITDA, and any such non-GAAP financial measures expressed as a Margin, are useful to investors as supplemental operational measurements to evaluate the Company’s financial performance.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non-GAAP financial measures should not be considered in isolation or as a substitute for the Company’s reported GAAP results because they may include or exclude certain items as compared to similar GAAP-based measures, and such measures may not be comparable to similarly-titled measures reported by other companies. Management uses these non-GAAP financial measures for financial and operational decision-making and as a means to evaluate period-to-period comparisons. Management believes that these non-GAAP financial measures provide meaningful supplemental information regarding the Company’s performance by excluding certain items that may not be indicative of the Company’s recurring operating results.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Adjusted Gross Profit and Contribution Profit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 provide investors with additional information regarding our margins and return on inventory acquired, we have included Adjusted Gross Profit and Contribution Profit, which are non-GAAP financial measures. We believe that Adjusted Gross Profit and Contribution Profit are useful financial measures for investors as they are supplemental measures used by management in evaluating unit level economics and our operating performance. Each of these measures is intended to present the economics related to homes sold during a given period. We do so by including revenue generated from homes sold (and adjacent services) in the period and only the expenses that are directly attributable to such home sales, even if such expenses were recognized in prior periods, and excluding expenses related to homes that remain in inventory as of the end of the period. Contribution Profit provides investors a measure to assess Opendoor’s ability to generate returns on homes sold during a reporting period after considering home purchase costs, renovation and repair costs, holding costs and selling costs.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Adjusted Gross Profit and Contribution Profit are supplemental measures of our operating performance and have limitations as analytical tools. For example, these measures include costs that were recorded in prior periods under GAAP and exclude, in connection with homes held in inventory at the end of the period, costs required to be recorded under GAAP in the same period. Accordingly, these measures should not be considered in isolation or as a substitute for analysis of our results as reported under GAAP. We include a reconciliation of these measures to the most directly comparable GAAP financial measure, which is gross profit.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Adjusted Gross Profit / Margin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calculate Adjusted Gross Profit as gross profit under GAAP adjusted for (1) inventory valuation adjustment in the current period, and (2) inventory valuation adjustment in prior periods. Inventory valuation adjustment in the current period is calculated by adding back the inventory valuation adjustments recorded during the period on homes that remain in inventory at period end. Inventory valuation adjustment in prior periods is calculated by subtracting the inventory valuation adjustments recorded in prior periods on homes sold in the current period. Adjusted Gross Margin is Adjusted Gross Profit as a percentage of revenue.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view this metric as an important measure of business performance as it captures gross margin performance isolated to homes sold in a given period and provides comparability across reporting periods. Adjusted Gross Profit helps management assess home pricing, service fees and renovation performance for a specific resale cohort.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Contribution Profit / Margin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calculate Contribution Profit as Adjusted Gross Profit, minus certain costs incurred on homes sold during the current period including: (1) holding costs incurred in the current period, (2) holding costs incurred in prior periods, and (3) direct selling costs. Contribution Margin is Contribution Profit as a percentage of revenue. Contribution Profit per Home Sold is calculated by dividing Contribution Profit by the number of homes sold in the period.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view these metrics as an important measure of business performance as it captures the unit level performance isolated to homes sold in a given period and provides comparability across reporting periods. Contribution Profit helps management assess the revenues and certain costs directly attributable to a specific resale cohort.</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0520"/>
                <wp:effectExtent l="0" t="0" r="0" b="0"/>
                <wp:wrapNone/>
                <wp:docPr id="14" name="Frame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RECONCILIATION OF GAAP TO NON-GAAP MEASURES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 except percentages, and homes sold)</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p>
      <w:pPr>
        <w:pStyle w:val="TextBody"/>
        <w:bidi w:val="0"/>
        <w:spacing w:before="0" w:after="0"/>
        <w:jc w:val="center"/>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our Adjusted Gross Profit and Contribution Profit to our gross profit, which is the most directly comparable GAAP measure, for the periods indicated:</w:t>
      </w:r>
    </w:p>
    <w:tbl>
      <w:tblPr>
        <w:tblW w:w="11026" w:type="dxa"/>
        <w:jc w:val="left"/>
        <w:tblInd w:w="0" w:type="dxa"/>
        <w:tblLayout w:type="fixed"/>
        <w:tblCellMar>
          <w:top w:w="28" w:type="dxa"/>
          <w:left w:w="28" w:type="dxa"/>
          <w:bottom w:w="28" w:type="dxa"/>
          <w:right w:w="28" w:type="dxa"/>
        </w:tblCellMar>
      </w:tblPr>
      <w:tblGrid>
        <w:gridCol w:w="850"/>
        <w:gridCol w:w="325"/>
        <w:gridCol w:w="326"/>
        <w:gridCol w:w="109"/>
        <w:gridCol w:w="109"/>
        <w:gridCol w:w="109"/>
        <w:gridCol w:w="211"/>
        <w:gridCol w:w="481"/>
        <w:gridCol w:w="271"/>
        <w:gridCol w:w="109"/>
        <w:gridCol w:w="109"/>
        <w:gridCol w:w="109"/>
        <w:gridCol w:w="211"/>
        <w:gridCol w:w="481"/>
        <w:gridCol w:w="271"/>
        <w:gridCol w:w="109"/>
        <w:gridCol w:w="109"/>
        <w:gridCol w:w="109"/>
        <w:gridCol w:w="211"/>
        <w:gridCol w:w="481"/>
        <w:gridCol w:w="271"/>
        <w:gridCol w:w="109"/>
        <w:gridCol w:w="109"/>
        <w:gridCol w:w="109"/>
        <w:gridCol w:w="211"/>
        <w:gridCol w:w="481"/>
        <w:gridCol w:w="271"/>
        <w:gridCol w:w="109"/>
        <w:gridCol w:w="109"/>
        <w:gridCol w:w="109"/>
        <w:gridCol w:w="211"/>
        <w:gridCol w:w="631"/>
        <w:gridCol w:w="271"/>
        <w:gridCol w:w="109"/>
        <w:gridCol w:w="109"/>
        <w:gridCol w:w="109"/>
        <w:gridCol w:w="211"/>
        <w:gridCol w:w="631"/>
        <w:gridCol w:w="271"/>
        <w:gridCol w:w="109"/>
        <w:gridCol w:w="109"/>
        <w:gridCol w:w="109"/>
        <w:gridCol w:w="211"/>
        <w:gridCol w:w="631"/>
        <w:gridCol w:w="316"/>
      </w:tblGrid>
      <w:tr>
        <w:trPr/>
        <w:tc>
          <w:tcPr>
            <w:tcW w:w="85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percentages and homes sold, or as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736</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2,720</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Gross profit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w:t>
            </w: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Inventory valuation adjustment – Current Period</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Inventory valuation adjustment – Prior Periods</w:t>
            </w:r>
            <w:r>
              <w:rPr>
                <w:rFonts w:ascii="Times New Roman;serif" w:hAnsi="Times New Roman;serif"/>
                <w:b w:val="false"/>
                <w:color w:val="000000"/>
                <w:sz w:val="13"/>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Adjusted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235</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Adjusted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Direct selling costs</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Holding costs on sales – Current Period</w:t>
            </w:r>
            <w:r>
              <w:rPr>
                <w:rFonts w:ascii="Times New Roman;serif" w:hAnsi="Times New Roman;serif"/>
                <w:b w:val="false"/>
                <w:color w:val="000000"/>
                <w:sz w:val="13"/>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Holding costs on sales – Prior Periods</w:t>
            </w:r>
            <w:r>
              <w:rPr>
                <w:rFonts w:ascii="Times New Roman;serif" w:hAnsi="Times New Roman;serif"/>
                <w:b w:val="false"/>
                <w:color w:val="000000"/>
                <w:sz w:val="13"/>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Contribution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Homes sold in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Contribution Profit per Home Sold </w:t>
            </w:r>
            <w:r>
              <w:rPr>
                <w:rFonts w:ascii="Times New Roman;serif" w:hAnsi="Times New Roman;serif"/>
                <w:b w:val="false"/>
                <w:color w:val="000000"/>
                <w:sz w:val="20"/>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bottom w:val="single" w:sz="2" w:space="0" w:color="FFFFFF"/>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Contribution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Inventory valuation adjustment includes adjustments to record real estate inventory at the lower of its carrying amount or its net realizable value.</w:t>
      </w:r>
    </w:p>
    <w:p>
      <w:pPr>
        <w:pStyle w:val="TextBody"/>
        <w:bidi w:val="0"/>
        <w:spacing w:lineRule="auto" w:line="288" w:before="12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Inventory valuation adjustment — Current Period is the inventory valuation adjustments recorded during the period presented associated with homes that remain in inventory at period end.</w:t>
      </w:r>
    </w:p>
    <w:p>
      <w:pPr>
        <w:pStyle w:val="TextBody"/>
        <w:bidi w:val="0"/>
        <w:spacing w:lineRule="auto" w:line="288" w:before="120" w:after="283"/>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Inventory valuation adjustment — Prior Periods is the inventory valuation adjustments recorded in prior periods associated with homes that sold in the period presented.</w:t>
      </w:r>
    </w:p>
    <w:p>
      <w:pPr>
        <w:pStyle w:val="TextBody"/>
        <w:bidi w:val="0"/>
        <w:spacing w:lineRule="auto" w:line="288" w:before="120" w:after="283"/>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Represents selling costs incurred related to homes sold in the relevant period. This primarily includes broker commissions, external title and escrow-related fees and transfer taxes. Selling costs are included in Sales, marketing and operations on the condensed consolidated statements of operations.</w:t>
      </w:r>
    </w:p>
    <w:p>
      <w:pPr>
        <w:pStyle w:val="TextBody"/>
        <w:bidi w:val="0"/>
        <w:spacing w:lineRule="auto" w:line="288" w:before="120" w:after="283"/>
        <w:ind w:left="0" w:right="0" w:hanging="360"/>
        <w:jc w:val="left"/>
        <w:rPr/>
      </w:pPr>
      <w:r>
        <w:rPr>
          <w:rFonts w:ascii="Times New Roman;serif" w:hAnsi="Times New Roman;serif"/>
          <w:b w:val="false"/>
          <w:color w:val="000000"/>
          <w:sz w:val="13"/>
        </w:rPr>
        <w:t>(5)</w:t>
      </w:r>
      <w:r>
        <w:rPr>
          <w:rFonts w:ascii="Times New Roman;serif" w:hAnsi="Times New Roman;serif"/>
          <w:b w:val="false"/>
          <w:color w:val="000000"/>
          <w:sz w:val="20"/>
        </w:rPr>
        <w:t>Holding costs primarily include property taxes, insurance, utilities, homeowners association dues and maintenance costs. Holding costs are included in Sales, marketing, and operations on the condensed consolidated statements of operations.</w:t>
      </w:r>
    </w:p>
    <w:p>
      <w:pPr>
        <w:pStyle w:val="TextBody"/>
        <w:bidi w:val="0"/>
        <w:spacing w:lineRule="auto" w:line="288" w:before="120" w:after="283"/>
        <w:ind w:left="0" w:right="0" w:hanging="360"/>
        <w:jc w:val="left"/>
        <w:rPr/>
      </w:pPr>
      <w:r>
        <w:rPr>
          <w:rFonts w:ascii="Times New Roman;serif" w:hAnsi="Times New Roman;serif"/>
          <w:b w:val="false"/>
          <w:color w:val="000000"/>
          <w:sz w:val="13"/>
        </w:rPr>
        <w:t>(6)</w:t>
      </w:r>
      <w:r>
        <w:rPr>
          <w:rFonts w:ascii="Times New Roman;serif" w:hAnsi="Times New Roman;serif"/>
          <w:b w:val="false"/>
          <w:color w:val="000000"/>
          <w:sz w:val="20"/>
        </w:rPr>
        <w:t>Represents holding costs incurred in the period presented on homes sold in the period presented.</w:t>
      </w:r>
    </w:p>
    <w:p>
      <w:pPr>
        <w:pStyle w:val="TextBody"/>
        <w:bidi w:val="0"/>
        <w:spacing w:lineRule="auto" w:line="288" w:before="120" w:after="283"/>
        <w:ind w:left="0" w:right="0" w:hanging="360"/>
        <w:jc w:val="left"/>
        <w:rPr/>
      </w:pPr>
      <w:r>
        <w:rPr>
          <w:rFonts w:ascii="Times New Roman;serif" w:hAnsi="Times New Roman;serif"/>
          <w:b w:val="false"/>
          <w:color w:val="000000"/>
          <w:sz w:val="13"/>
        </w:rPr>
        <w:t>(7)</w:t>
      </w:r>
      <w:r>
        <w:rPr>
          <w:rFonts w:ascii="Times New Roman;serif" w:hAnsi="Times New Roman;serif"/>
          <w:b w:val="false"/>
          <w:color w:val="000000"/>
          <w:sz w:val="20"/>
        </w:rPr>
        <w:t>Represents holding costs incurred in prior periods on homes sold in the period presented.</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0520"/>
                <wp:effectExtent l="0" t="0" r="0" b="0"/>
                <wp:wrapNone/>
                <wp:docPr id="15" name="Frame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Adjusted Net Loss and Adjusted EBITDA</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also present Adjusted Net Loss and Adjusted EBITDA, which are non-GAAP financial measures that management uses to assess our underlying financial performance. These measures are also commonly used by investors and analysts to compare the underlying performance of companies in our industry. We believe these measures provide investors with meaningful period over period comparisons of our underlying performance, adjusted for certain charges that are non-cash, not directly related to our revenue-generating operations, not aligned to related revenue, or not reflective of ongoing operating results that vary in frequency and amount.</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Adjusted Net Loss and Adjusted EBITDA are supplemental measures of our operating performance and have important limitations. For example, these measures exclude the impact of certain costs required to be recorded under GAAP. These measures also include inventory valuation adjustments that were recorded in prior periods under GAAP and exclude, in connection with homes held in inventory at the end of the period, inventory valuation adjustments required to be recorded under GAAP in the same period. These measures could differ substantially from similarly titled measures presented by other companies in our industry or companies in other industries. Accordingly, these measures should not be considered in isolation or as a substitute for analysis of our results as reported under GAAP. We include a reconciliation of these measures to the most directly comparable GAAP financial measure, which is net loss.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Adjusted Net Loss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calculate Adjusted Net Loss as GAAP net loss adjusted to exclude non-cash expenses of stock-based compensation, equity securities fair value adjustment and the amortization of stock-based compensation capitalized to internally developed software (“IDSW”). It excludes expenses that are not directly related to our revenue-generating operations such as restructuring and CEO make-whole provision. It also excludes loss (gain) on extinguishment of debt as these expenses or gains were incurred as a result of decisions made by management to terminate or partially extinguish portions of our outstanding credit facilities or convertible senior notes early; these expenses or gains are not reflective of ongoing operating results and vary in frequency and amount. Adjusted Net Loss also aligns the timing of inventory valuation adjustments recorded under GAAP to the period in which the related revenue is recorded in order to improve the comparability of this measure to our non-GAAP financial measures of unit economics, as described above. Our calculation of Adjusted Net Loss does not currently include the tax effects of the non-GAAP adjustments because our taxes and such tax effects have not been material to date.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Adjusted EBITDA / Margin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calculated Adjusted EBITDA as Adjusted Net Loss adjusted for depreciation and amortization, property financing and other interest expense, interest income, and income tax expense. Adjusted EBITDA is a supplemental performance measure that our management uses to assess our operating performance and the operating leverage in our business. Adjusted EBITDA Margin is Adjusted EBITDA as a percentage of revenue.</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0520"/>
                <wp:effectExtent l="0" t="0" r="0" b="0"/>
                <wp:wrapNone/>
                <wp:docPr id="16" name="Frame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our Adjusted Net Loss and Adjusted EBITDA to our net loss, which is the most directly comparable GAAP measure, for the periods indicated:</w:t>
      </w:r>
    </w:p>
    <w:tbl>
      <w:tblPr>
        <w:tblW w:w="10996" w:type="dxa"/>
        <w:jc w:val="left"/>
        <w:tblInd w:w="0" w:type="dxa"/>
        <w:tblLayout w:type="fixed"/>
        <w:tblCellMar>
          <w:top w:w="28" w:type="dxa"/>
          <w:left w:w="28" w:type="dxa"/>
          <w:bottom w:w="28" w:type="dxa"/>
          <w:right w:w="28" w:type="dxa"/>
        </w:tblCellMar>
      </w:tblPr>
      <w:tblGrid>
        <w:gridCol w:w="670"/>
        <w:gridCol w:w="325"/>
        <w:gridCol w:w="326"/>
        <w:gridCol w:w="109"/>
        <w:gridCol w:w="109"/>
        <w:gridCol w:w="109"/>
        <w:gridCol w:w="211"/>
        <w:gridCol w:w="481"/>
        <w:gridCol w:w="271"/>
        <w:gridCol w:w="109"/>
        <w:gridCol w:w="109"/>
        <w:gridCol w:w="109"/>
        <w:gridCol w:w="211"/>
        <w:gridCol w:w="481"/>
        <w:gridCol w:w="271"/>
        <w:gridCol w:w="109"/>
        <w:gridCol w:w="109"/>
        <w:gridCol w:w="109"/>
        <w:gridCol w:w="211"/>
        <w:gridCol w:w="631"/>
        <w:gridCol w:w="271"/>
        <w:gridCol w:w="109"/>
        <w:gridCol w:w="109"/>
        <w:gridCol w:w="109"/>
        <w:gridCol w:w="211"/>
        <w:gridCol w:w="481"/>
        <w:gridCol w:w="271"/>
        <w:gridCol w:w="109"/>
        <w:gridCol w:w="109"/>
        <w:gridCol w:w="109"/>
        <w:gridCol w:w="211"/>
        <w:gridCol w:w="631"/>
        <w:gridCol w:w="271"/>
        <w:gridCol w:w="109"/>
        <w:gridCol w:w="109"/>
        <w:gridCol w:w="109"/>
        <w:gridCol w:w="211"/>
        <w:gridCol w:w="631"/>
        <w:gridCol w:w="271"/>
        <w:gridCol w:w="109"/>
        <w:gridCol w:w="109"/>
        <w:gridCol w:w="109"/>
        <w:gridCol w:w="211"/>
        <w:gridCol w:w="631"/>
        <w:gridCol w:w="316"/>
      </w:tblGrid>
      <w:tr>
        <w:trPr/>
        <w:tc>
          <w:tcPr>
            <w:tcW w:w="6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3"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736</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2,720</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for market condition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Equity securities fair value adjustment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stock-based compensation capitalized to IDSW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Inventory valuation adjustment – Current Period</w:t>
            </w:r>
            <w:r>
              <w:rPr>
                <w:rFonts w:ascii="Times New Roman;serif" w:hAnsi="Times New Roman;serif"/>
                <w:b w:val="false"/>
                <w:color w:val="000000"/>
                <w:sz w:val="13"/>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Inventory valuation adjustment — Prior Periods</w:t>
            </w:r>
            <w:r>
              <w:rPr>
                <w:rFonts w:ascii="Times New Roman;serif" w:hAnsi="Times New Roman;serif"/>
                <w:b w:val="false"/>
                <w:color w:val="000000"/>
                <w:sz w:val="13"/>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Restructuring</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CEO make-whole provision</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(gain)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Other</w:t>
            </w:r>
            <w:r>
              <w:rPr>
                <w:rFonts w:ascii="Times New Roman;serif" w:hAnsi="Times New Roman;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Adjusted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(72)</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excluding amortization of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Property financing</w:t>
            </w:r>
            <w:r>
              <w:rPr>
                <w:rFonts w:ascii="Times New Roman;serif" w:hAnsi="Times New Roman;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Other interest expense</w:t>
            </w:r>
            <w:r>
              <w:rPr>
                <w:rFonts w:ascii="Times New Roman;serif" w:hAnsi="Times New Roman;serif"/>
                <w:b w:val="false"/>
                <w:color w:val="000000"/>
                <w:sz w:val="13"/>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Interest income</w:t>
            </w:r>
            <w:r>
              <w:rPr>
                <w:rFonts w:ascii="Times New Roman;serif" w:hAnsi="Times New Roman;serif"/>
                <w:b w:val="false"/>
                <w:color w:val="000000"/>
                <w:sz w:val="13"/>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6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Represents the gains and losses on certain financial instruments, which are marked to fair value at the end of each period.</w:t>
      </w:r>
    </w:p>
    <w:p>
      <w:pPr>
        <w:pStyle w:val="TextBody"/>
        <w:bidi w:val="0"/>
        <w:spacing w:lineRule="auto" w:line="288" w:before="6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Inventory valuation adjustment includes adjustments to record real estate inventory at the lower of its carrying amount or its net realizable value.</w:t>
      </w:r>
    </w:p>
    <w:p>
      <w:pPr>
        <w:pStyle w:val="TextBody"/>
        <w:bidi w:val="0"/>
        <w:spacing w:lineRule="auto" w:line="288" w:before="60" w:after="283"/>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Inventory valuation adjustment — Current Period is the inventory valuation adjustments recorded during the period presented associated with homes that remain in inventory at period end.</w:t>
      </w:r>
    </w:p>
    <w:p>
      <w:pPr>
        <w:pStyle w:val="TextBody"/>
        <w:bidi w:val="0"/>
        <w:spacing w:lineRule="auto" w:line="288" w:before="60" w:after="283"/>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Inventory valuation adjustment — Prior Periods is the inventory valuation adjustments recorded in prior periods associated with homes that sold in the period presented.</w:t>
      </w:r>
    </w:p>
    <w:p>
      <w:pPr>
        <w:pStyle w:val="TextBody"/>
        <w:bidi w:val="0"/>
        <w:spacing w:lineRule="auto" w:line="288" w:before="0" w:after="0"/>
        <w:ind w:left="0" w:right="0" w:hanging="360"/>
        <w:jc w:val="left"/>
        <w:rPr/>
      </w:pPr>
      <w:r>
        <w:rPr>
          <w:rFonts w:ascii="Times New Roman;serif" w:hAnsi="Times New Roman;serif"/>
          <w:b w:val="false"/>
          <w:color w:val="000000"/>
          <w:sz w:val="13"/>
        </w:rPr>
        <w:t>(5)</w:t>
      </w:r>
      <w:r>
        <w:rPr>
          <w:rFonts w:ascii="Times New Roman;serif" w:hAnsi="Times New Roman;serif"/>
          <w:b w:val="false"/>
          <w:color w:val="000000"/>
          <w:sz w:val="20"/>
        </w:rPr>
        <w:t>Restructuring expense consists primarily of severance and other termination benefits for employees whose roles have been eliminated, consulting fees, and expenses related to the termination of certain leases incurred during the restructuring process.</w:t>
      </w:r>
    </w:p>
    <w:p>
      <w:pPr>
        <w:pStyle w:val="TextBody"/>
        <w:bidi w:val="0"/>
        <w:spacing w:lineRule="auto" w:line="288" w:before="60" w:after="283"/>
        <w:ind w:left="0" w:right="0" w:hanging="360"/>
        <w:jc w:val="left"/>
        <w:rPr/>
      </w:pPr>
      <w:r>
        <w:rPr>
          <w:rFonts w:ascii="Times New Roman;serif" w:hAnsi="Times New Roman;serif"/>
          <w:b w:val="false"/>
          <w:color w:val="000000"/>
          <w:sz w:val="13"/>
        </w:rPr>
        <w:t>(6)</w:t>
      </w:r>
      <w:r>
        <w:rPr>
          <w:rFonts w:ascii="Times New Roman;serif" w:hAnsi="Times New Roman;serif"/>
          <w:b w:val="false"/>
          <w:color w:val="000000"/>
          <w:sz w:val="20"/>
        </w:rPr>
        <w:t xml:space="preserve">In connection with the appointment of the Company's new Chief Executive Officer in September 2025, the Company granted two make-whole awards related to compensation forfeited from his former employer. The awards consist of (i) a $15 million cash award and (ii) a restricted stock unit award with a grant date value of $15 million. Both awards vest nine months after his start date, contingent upon his continued service as Chief Executive Officer through the vesting date, and are expensed over the requisite service period. The CEO make-whole provision adjustment reflects only the expense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0520"/>
                <wp:effectExtent l="0" t="0" r="0" b="0"/>
                <wp:wrapNone/>
                <wp:docPr id="17" name="Frame1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associated with the cash make-whole award. The expense associated with the restricted stock unit make-whole award is included in the stock-based compensation line item presented separately in the reconciliation above. </w:t>
      </w:r>
    </w:p>
    <w:p>
      <w:pPr>
        <w:pStyle w:val="TextBody"/>
        <w:bidi w:val="0"/>
        <w:spacing w:lineRule="auto" w:line="288" w:before="60" w:after="283"/>
        <w:ind w:left="0" w:right="0" w:hanging="360"/>
        <w:jc w:val="left"/>
        <w:rPr/>
      </w:pPr>
      <w:r>
        <w:rPr>
          <w:rFonts w:ascii="Times New Roman;serif" w:hAnsi="Times New Roman;serif"/>
          <w:b w:val="false"/>
          <w:color w:val="000000"/>
          <w:sz w:val="13"/>
        </w:rPr>
        <w:t>(7)</w:t>
      </w:r>
      <w:r>
        <w:rPr>
          <w:rFonts w:ascii="Times New Roman;serif" w:hAnsi="Times New Roman;serif"/>
          <w:b w:val="false"/>
          <w:color w:val="000000"/>
          <w:sz w:val="20"/>
        </w:rPr>
        <w:t>Primarily includes related party services income.</w:t>
      </w:r>
    </w:p>
    <w:p>
      <w:pPr>
        <w:pStyle w:val="TextBody"/>
        <w:bidi w:val="0"/>
        <w:spacing w:lineRule="auto" w:line="288" w:before="60" w:after="283"/>
        <w:ind w:left="0" w:right="0" w:hanging="360"/>
        <w:jc w:val="left"/>
        <w:rPr/>
      </w:pPr>
      <w:r>
        <w:rPr>
          <w:rFonts w:ascii="Times New Roman;serif" w:hAnsi="Times New Roman;serif"/>
          <w:b w:val="false"/>
          <w:color w:val="000000"/>
          <w:sz w:val="13"/>
        </w:rPr>
        <w:t>(8)</w:t>
      </w:r>
      <w:r>
        <w:rPr>
          <w:rFonts w:ascii="Times New Roman;serif" w:hAnsi="Times New Roman;serif"/>
          <w:b w:val="false"/>
          <w:color w:val="000000"/>
          <w:sz w:val="20"/>
        </w:rPr>
        <w:t>Includes interest expense on our non-recourse asset-backed debt facilities.</w:t>
      </w:r>
    </w:p>
    <w:p>
      <w:pPr>
        <w:pStyle w:val="TextBody"/>
        <w:bidi w:val="0"/>
        <w:spacing w:lineRule="auto" w:line="288" w:before="60" w:after="283"/>
        <w:ind w:left="0" w:right="0" w:hanging="360"/>
        <w:jc w:val="left"/>
        <w:rPr/>
      </w:pPr>
      <w:r>
        <w:rPr>
          <w:rFonts w:ascii="Times New Roman;serif" w:hAnsi="Times New Roman;serif"/>
          <w:b w:val="false"/>
          <w:color w:val="000000"/>
          <w:sz w:val="13"/>
        </w:rPr>
        <w:t>(9)</w:t>
      </w:r>
      <w:r>
        <w:rPr>
          <w:rFonts w:ascii="Times New Roman;serif" w:hAnsi="Times New Roman;serif"/>
          <w:b w:val="false"/>
          <w:color w:val="000000"/>
          <w:sz w:val="20"/>
        </w:rPr>
        <w:t>Includes (i) amortization of debt issuance costs, loan origination fees, commitment fees, unused fees, and other interest-related costs on our asset-backed debt facilities, and (ii) amortization of debt issuance costs and debt discounts and interest expense related to our convertible senior notes.</w:t>
      </w:r>
    </w:p>
    <w:p>
      <w:pPr>
        <w:pStyle w:val="TextBody"/>
        <w:bidi w:val="0"/>
        <w:spacing w:lineRule="auto" w:line="288" w:before="60" w:after="283"/>
        <w:ind w:left="0" w:right="0" w:hanging="360"/>
        <w:jc w:val="left"/>
        <w:rPr/>
      </w:pPr>
      <w:r>
        <w:rPr>
          <w:rFonts w:ascii="Times New Roman;serif" w:hAnsi="Times New Roman;serif"/>
          <w:b w:val="false"/>
          <w:color w:val="000000"/>
          <w:sz w:val="13"/>
        </w:rPr>
        <w:t>(10)</w:t>
      </w:r>
      <w:r>
        <w:rPr>
          <w:rFonts w:ascii="Times New Roman;serif" w:hAnsi="Times New Roman;serif"/>
          <w:b w:val="false"/>
          <w:color w:val="000000"/>
          <w:sz w:val="20"/>
        </w:rPr>
        <w:t>Consists mainly of interest earned on cash, cash equivalents and restricted cash.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0520"/>
                <wp:effectExtent l="0" t="0" r="0" b="0"/>
                <wp:wrapNone/>
                <wp:docPr id="18" name="Frame1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SEGMENT INFORMATION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433"/>
        <w:gridCol w:w="1166"/>
        <w:gridCol w:w="1155"/>
        <w:gridCol w:w="109"/>
        <w:gridCol w:w="109"/>
        <w:gridCol w:w="109"/>
        <w:gridCol w:w="211"/>
        <w:gridCol w:w="527"/>
        <w:gridCol w:w="109"/>
        <w:gridCol w:w="109"/>
        <w:gridCol w:w="109"/>
        <w:gridCol w:w="109"/>
        <w:gridCol w:w="211"/>
        <w:gridCol w:w="527"/>
        <w:gridCol w:w="109"/>
        <w:gridCol w:w="109"/>
        <w:gridCol w:w="109"/>
        <w:gridCol w:w="109"/>
        <w:gridCol w:w="224"/>
        <w:gridCol w:w="721"/>
        <w:gridCol w:w="115"/>
        <w:gridCol w:w="109"/>
        <w:gridCol w:w="109"/>
        <w:gridCol w:w="109"/>
        <w:gridCol w:w="288"/>
        <w:gridCol w:w="638"/>
        <w:gridCol w:w="150"/>
        <w:gridCol w:w="109"/>
        <w:gridCol w:w="109"/>
        <w:gridCol w:w="109"/>
        <w:gridCol w:w="211"/>
        <w:gridCol w:w="616"/>
        <w:gridCol w:w="159"/>
      </w:tblGrid>
      <w:tr>
        <w:trPr/>
        <w:tc>
          <w:tcPr>
            <w:tcW w:w="1433"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3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3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Direct selling costs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Holding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Advertising and other marketing expense</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Operations</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Fixed operating expense</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CEO make-whole provision</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for market condition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Represents selling costs incurred related to homes sold in the relevant period. This primarily includes broker commissions, external title and escrow-related fees and transfer taxes and are included in Sales, marketing and operations.</w:t>
      </w:r>
    </w:p>
    <w:p>
      <w:pPr>
        <w:pStyle w:val="TextBody"/>
        <w:bidi w:val="0"/>
        <w:spacing w:lineRule="auto" w:line="288" w:before="12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Represents holding costs incurred both in the period presented and in prior periods on homes sold in the period presented (“Resale Cohort Holding Costs”). Holding costs include mainly property taxes, insurance, utilities, homeowners association dues, cleaning and maintenance costs. Holding costs are included in Sales, marketing and operations in the period in which they are incurred (“GAAP Holding Costs”).</w:t>
      </w:r>
    </w:p>
    <w:p>
      <w:pPr>
        <w:pStyle w:val="TextBody"/>
        <w:bidi w:val="0"/>
        <w:spacing w:lineRule="auto" w:line="288" w:before="120" w:after="283"/>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Advertising expenses are included in Sales, marketing and operations. Other marketing expenses include non-advertising marketing expenses such as acquisition leads and referrals and public relations services and are included in Sales, marketing and operations.</w:t>
      </w:r>
    </w:p>
    <w:p>
      <w:pPr>
        <w:pStyle w:val="TextBody"/>
        <w:bidi w:val="0"/>
        <w:spacing w:lineRule="auto" w:line="288" w:before="120" w:after="283"/>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 xml:space="preserve">Represents operating expenses that are generally related to the volume of homes transacted during the period and tend to be variable in nature. Primarily includes workforce expenses in support of sales, and real estate inventory operations. </w:t>
      </w:r>
    </w:p>
    <w:p>
      <w:pPr>
        <w:pStyle w:val="TextBody"/>
        <w:bidi w:val="0"/>
        <w:spacing w:lineRule="auto" w:line="288" w:before="120" w:after="283"/>
        <w:ind w:left="0" w:right="0" w:hanging="360"/>
        <w:jc w:val="left"/>
        <w:rPr/>
      </w:pPr>
      <w:r>
        <w:rPr>
          <w:rFonts w:ascii="Times New Roman;serif" w:hAnsi="Times New Roman;serif"/>
          <w:b w:val="false"/>
          <w:color w:val="000000"/>
          <w:sz w:val="13"/>
        </w:rPr>
        <w:t>(5)</w:t>
      </w:r>
      <w:r>
        <w:rPr>
          <w:rFonts w:ascii="Times New Roman;serif" w:hAnsi="Times New Roman;serif"/>
          <w:b w:val="false"/>
          <w:color w:val="000000"/>
          <w:sz w:val="20"/>
        </w:rPr>
        <w:t>Represents operating expenses that are not directly correlated with home transaction volumes. These expenses generally include costs related to salaries and benefits for our leadership, finance, technology, human resources, legal, marketing and administrative personnel, as well as third-party professional services fees, rent expense and third-party software.</w:t>
      </w:r>
    </w:p>
    <w:p>
      <w:pPr>
        <w:pStyle w:val="TextBody"/>
        <w:bidi w:val="0"/>
        <w:spacing w:lineRule="auto" w:line="288" w:before="120" w:after="283"/>
        <w:ind w:left="0" w:right="0" w:hanging="360"/>
        <w:jc w:val="left"/>
        <w:rPr/>
      </w:pPr>
      <w:r>
        <w:rPr>
          <w:rFonts w:ascii="Times New Roman;serif" w:hAnsi="Times New Roman;serif"/>
          <w:b w:val="false"/>
          <w:color w:val="000000"/>
          <w:sz w:val="13"/>
        </w:rPr>
        <w:t>(6)</w:t>
      </w:r>
      <w:r>
        <w:rPr>
          <w:rFonts w:ascii="Times New Roman;serif" w:hAnsi="Times New Roman;serif"/>
          <w:b w:val="false"/>
          <w:color w:val="000000"/>
          <w:sz w:val="20"/>
        </w:rPr>
        <w:t xml:space="preserve">In connection with the appointment of the Company's new Chief Executive Officer in September 2025, the Company granted two make-whole awards related to compensation forfeited from his former employer. The awards consist of (i) a $15 million cash award and (ii) a restricted stock unit award with a grant date value of $15 million. Both awards vest nine months after his start date, contingent upon his continued service as Chief Executive Officer through the vesting date, and are expensed over the requisite service period. The CEO make-whole provision adjustment reflects only the expense associated with the cash make-whole award. The expense associated with the restricted stock unit make-whole award is included in the stock-based compensation line item presented separately in the reconciliation above. </w:t>
      </w:r>
    </w:p>
    <w:p>
      <w:pPr>
        <w:pStyle w:val="TextBody"/>
        <w:bidi w:val="0"/>
        <w:spacing w:lineRule="auto" w:line="288" w:before="120" w:after="283"/>
        <w:ind w:left="0" w:right="0" w:hanging="360"/>
        <w:jc w:val="left"/>
        <w:rPr/>
      </w:pPr>
      <w:r>
        <w:rPr>
          <w:rFonts w:ascii="Times New Roman;serif" w:hAnsi="Times New Roman;serif"/>
          <w:b w:val="false"/>
          <w:color w:val="000000"/>
          <w:sz w:val="13"/>
        </w:rPr>
        <w:t>(7)</w:t>
      </w:r>
      <w:r>
        <w:rPr>
          <w:rFonts w:ascii="Times New Roman;serif" w:hAnsi="Times New Roman;serif"/>
          <w:b w:val="false"/>
          <w:color w:val="000000"/>
          <w:sz w:val="20"/>
        </w:rPr>
        <w:t>Other segment income (expenses) are primarily made up of depreciation and amortization, gain on deconsolidation, net, restructuring, and amortization of stock-based compensation capitalized to internally developed software. This also includes the elimination of holding costs incurred in prior periods on homes sold in the periods presented, and includes holding costs incurred in the current period on homes remaining in inventory at period end.</w:t>
      </w:r>
    </w:p>
    <w:p>
      <w:pPr>
        <w:pStyle w:val="TextBody"/>
        <w:bidi w:val="0"/>
        <w:spacing w:before="0" w:after="0"/>
        <w:jc w:val="center"/>
        <w:rPr/>
      </w:pPr>
      <w:bookmarkStart w:id="0" w:name="exhibit992-q22026form8xk.htm"/>
      <w:bookmarkStart w:id="1" w:name="ksexhibit992q22026form8xk"/>
      <w:bookmarkEnd w:id="0"/>
      <w:bookmarkEnd w:id="1"/>
      <w:r>
        <w:rPr/>
        <w:drawing>
          <wp:inline distT="0" distB="0" distL="0" distR="0">
            <wp:extent cx="10048875" cy="13001625"/>
            <wp:effectExtent l="0" t="0" r="0" b="0"/>
            <wp:docPr id="1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0520"/>
                <wp:effectExtent l="0" t="0" r="0" b="0"/>
                <wp:wrapNone/>
                <wp:docPr id="20" name="Frame1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Use of Non-GAAP Financial Measures To provide investors with additional information regarding the Company’s financial results, these supplemental tables include references to certain non-GAAP financial measures that are used by management. The Company believes these non-GAAP financial measures including Adjusted Gross Profit, Contribution Profit, Adjusted Net Loss, Adjusted EBITDA, and any such non-GAAP financial measures expressed as a Margin, are useful to investors as supplemental operational measurements to evaluate the Company’s financial performance. The non-GAAP financial measures should not be considered in isolation or as a substitute for the Company’s reported GAAP results because they may include or exclude certain items as compared to similar GAAP-based measures, and such measures may not be comparable to similarly-titled measures reported by other companies. Management uses these non-GAAP financial measures for financial and operational decision-making and as a means to evaluate period-to-period comparisons. Management believes that these non-GAAP financial measures provide meaningful supplemental information regarding the Company’s performance by excluding certain items that may not be indicative of the Company’s recurring operating results. Adjusted Gross Profit and Contribution Profit To provide investors with additional information regarding our margins and return on inventory acquired, we have included Adjusted Gross Profit and Contribution Profit, which are non-GAAP financial measures. We believe that Adjusted Gross Profit and Contribution Profit are useful financial measures for investors as they are supplemental measures used by management in evaluating unit level economics and our operating performance. Each of these measures is intended to present the economics related to homes sold during a given period. We do so by including revenue generated from homes sold (and adjacent services) in the period and only the expenses that are directly attributable to such home sales, even if such expenses were recognized in prior periods, and excluding expenses related to homes that remain in inventory as of the end of the period. Contribution Profit provides investors a measure to assess Opendoor’s ability to generate returns on homes sold during a reporting period after considering home purchase costs, renovation and repair costs, holding costs and selling costs. Adjusted Gross Profit and Contribution Profit are supplemental measures of our operating performance and have limitations as analytical tools. For example, these measures include costs that were recorded in prior periods under GAAP and exclude, in connection with homes held in inventory at the end of the period, costs required to be recorded under GAAP in the same period. Accordingly, these measures should not be considered in isolation or as a substitute for analysis of our results as reported under GAAP. We include a reconciliation of these measures to the most directly comparable GAAP financial measure, which is gross profit. Adjusted Gross Profit / Margin We calculate Adjusted Gross Profit as gross profit under GAAP adjusted for (1) inventory valuation adjustment in the current period, and (2) inventory valuation adjustment in prior periods. Inventory valuation adjustment in the current period is calculated by adding back the inventory valuation adjustments recorded during the period on homes that remain in inventory at period end. Inventory valuation adjustment in prior periods is calculated by subtracting the inventory valuation adjustments recorded in prior periods on homes sold in the current period. Adjusted Gross Margin is Adjusted Gross Profit as a percentage of revenue. We view this metric as an important measure of business performance as it captures gross margin performance isolated to homes sold in a given period and provides comparability across reporting periods. Adjusted Gross Profit helps management assess home pricing, service fees and renovation performance for a specific resale cohort. Contribution Profit / Margin We calculate Contribution Profit as Adjusted Gross Profit, minus certain costs incurred on homes sold during the current period including: (1) holding costs incurred in the current period, (2) holding costs incurred in prior periods, and (3) direct selling costs. Contribution Margin is Contribution Profit as a percentage of revenue. Contribution Profit per Home Sold is calculated by dividing Contribution Profit by the number of homes sold in the period. We view these metrics as an important measure of business performance as it captures the unit level performance isolated to homes sold in a given period and provides comparability across reporting periods. Contribution Profit helps management assess the revenues and certain costs directly attributable to a specific resale cohort. Adjusted Net Loss and Adjusted EBITDA / Margin We also present Adjusted Net Loss and Adjusted EBITDA, which are non-GAAP financial measures that management uses to assess our underlying financial performance. These measures are also commonly used by investors and analysts to compare the underlying performance of companies in our industry. We believe these measures provide investors with meaningful period over period comparisons of our underlying performance, adjusted for certain charges that are non-cash, not directly related to our revenue-generating operations, not aligned to related revenue, or not reflective of ongoing operating results that vary in frequency and amount. Adjusted Net Loss and Adjusted EBITDA are supplemental measures of our operating performance and have important limitations. For example, these measures exclude the impact of certain costs required to be recorded under GAAP. These measures also include inventory valuation adjustments that were recorded in prior periods under GAAP and exclude, in connection with homes held in inventory at the end of the period, inventory valuation adjustments required to be recorded under GAAP in the same period. These measures could differ substantially from similarly titled measures presented by other companies in our industry or companies in other industries. Accordingly, these measures should not be considered in isolation or as a substitute for analysis of our results as reported under GAAP. We include a reconciliation of these measures to the most directly comparable GAAP financial measure, which is net loss.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calculate Adjusted Net Loss as GAAP net loss adjusted to exclude non-cash expenses of stock-based compensation, equity securities fair value adjustment, and the amortization of stock-based compensation capitalized to internally developed software ("IDSW"). It excludes expenses that are not directly related to our revenue generating operations such as restructuring, and CEO make-whole provision. It excludes loss (gain) on extinguishment of debt as these expenses or gains were incurred as a result of decisions made by management to terminate or partially extinguish portions of our outstanding credit facilities or convertible senior notes early; these expenses or gains are not reflective of ongoing operating results and vary in frequency and amount. Adjusted Net Loss also aligns the timing of inventory valuation adjustments recorded under GAAP to the period in which the related revenue is recorded in order to improve the comparability of this measure to our non-GAAP financial measures of unit economics, as described above. Our calculation of Adjusted Net Loss does not currently include the tax effects of the non-GAAP adjustments because our taxes and such tax effects have not been material to date. We calculated Adjusted EBITDA as Adjusted Net Loss adjusted for depreciation and amortization, property financing and other interest expense, interest income, and income tax expense. Adjusted EBITDA is a supplemental performance measure that our management uses to assess our operating performance and the operating leverage in our business. Adjusted EBITDA Margin is Adjusted EBITDA as a percentage of revenue. Adjusted Operating Expense We also present Adjusted Operating Expense, which is a non-GAAP financial measure that bridges the difference between Contribution Profit and Adjusted EBITDA. We believe this measure provides investors and analysts meaningful period over period comparisons by showing the remaining operating expenses after the costs related to unit level performance are moved to Contribution Profit and certain charges that are non-cash, or not directly related to our revenue-generating operations are removed. Adjusted Operating Expense is a supplemental measure of our operating expenditures and has important limitations. For example, this measure excludes the impact of certain costs required to be recorded under GAAP. This measure removes holding costs and direct selling costs incurred on homes sold during the current period, including holding costs recorded in prior periods, and moves these costs to Contribution Margin. This measure could differ substantially from similarly titled measures presented by other companies in our industry or in other industries. Accordingly, this measure should not be considered in isolation or as a substitute for analysis of our results as reported under GAAP. We include a reconciliation of this measure to the most directly comparable GAAP financial measure, which is operating expenses. We calculate Adjusted Operating Expense as GAAP operating expense adjusted to exclude direct selling costs and holding costs included in determining Contribution Profit. The measure also excludes non-cash expenses of stock-based compensation, depreciation and amortization and the amortization of stock-based compensation capitalized to IDSW. It also excludes expenses that are not directly related to our revenue-generating operations such as restructuring charges, legal contingency accruals, and CEO make-whole provision.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OPENDOOR TECHNOLOGIES INC. NON-GAAP MEASURES &amp; KEY METRICS (Unaudited) Period Ended ($ in millions, except homes purchased, homes sold, homes in inventory, and margins) Q2 2026 Q1 2026 Q4 2025 Q3 2025 Q2 2025 Key Metrics Total Revenue $ 883 $ 720 $ 736 $ 915 $ 1,567 Gross profit $ 86 $ 72 $ 57 $ 66 $ 128 Net loss $ (162) $ (173) $ (1,096) $ (90) $ (29) Inventory (at period end) $ 1,845 $ 1,139 $ 925 $ 1,053 $ 1,530 Non-GAAP Financial Measures Adjusted Gross Profit $ 91 $ 67 $ 45 $ 64 $ 135 Selling Costs (29) (23) (23) (28) (43) Holding Costs (11) (12) (15) (16) (23) Contribution Profit $ 51 $ 32 $ 7 $ 20 $ 69 Adjusted EBITDA $ (4) $ (31) $ (43) $ (33) $ 23 Adjusted Net Loss $ (30) $ (49) $ (62) $ (61) $ (9) Margins Total Revenue 100.0 % 100.0 % 100.0 % 100.0 % 100.0 % Gross profit 9.7 % 10.0 % 7.7 % 7.2 % 8.2 % Adjusted Gross Profit 10.3 % 9.3 % 6.1 % 7.0 % 8.6 % Contribution Profit 5.8 % 4.4 % 1.0 % 2.2 % 4.4 % Net loss (18.3) % (24.0) % (148.9) % (9.8) % (1.9) % Adjusted EBITDA (0.5) % (4.3) % (5.8) % (3.6) % 1.5 % Adjusted Net Loss (3.4) % (6.8) % (8.4) % (6.7) % (0.6) % Inventory Rollforward Homes in Inventory (at beginning of period) 3,420 2,867 3,139 4,538 7,080 Homes Purchased 4,378 2,474 1,706 1,169 1,757 Homes Sold (2,339) (1,921) (1,978) (2,568) (4,299) Homes in Inventory (at period end) 5,459 3,420 2,867 3,139 4,538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OPENDOOR TECHNOLOGIES INC. CONDENSED CONSOLIDATED STATEMENTS OF OPERATIONS (In millions, except share amounts which are presented in thousands, and per share amounts) (Unaudited) Three Months Ended June 30, Six Months Ended June 30, 2026 2025 2026 2025 REVENUE $ 883 $ 1,567 $ 1,603 $ 2,720 COST OF REVENUE 797 1,439 1,445 2,493 GROSS PROFIT 86 128 158 227 OPERATING EXPENSES: Sales, marketing and operations 65 86 135 184 General and administrative 135 28 272 61 Technology and development 27 21 51 42 Restructuring 3 6 3 9 Total operating expenses 230 141 461 296 LOSS FROM OPERATIONS (144) (13) (303) (69) (LOSS) GAIN ON EXTINGUISHMENT OF DEBT — 10 (1) 10 INTEREST EXPENSE (29) (36) (52) (69) OTHER INCOME – Net 11 10 21 14 LOSS BEFORE INCOME TAXES (162) (29) (335) (114) INCOME TAX EXPENSE — — — — NET LOSS $ (162) $ (29) $ (335) $ (114) Net loss per share attributable to common shareholders: Basic $ (0.17) $ (0.04) $ (0.35) $ (0.16) Diluted $ (0.17) $ (0.04) $ (0.35) $ (0.16) Weighted-average shares outstanding: Basic 965,780 729,484 962,574 726,529 Diluted 965,780 729,484 962,574 726,529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OPENDOOR TECHNOLOGIES INC. CONDENSED CONSOLIDATED BALANCE SHEETS (In millions, except share data) (Unaudited) June 30, 2026 December 31, 2025 ASSETS CURRENT ASSETS: Cash and cash equivalents $ 896 $ 962 Restricted cash 66 339 Escrow receivable 13 4 Real estate inventory, net 1,845 925 Other current assets 30 69 Total current assets 2,850 2,299 PROPERTY AND EQUIPMENT – Net 24 27 RIGHT OF USE ASSETS 10 8 GOODWILL 3 3 OTHER ASSETS 74 70 TOTAL ASSETS $ 2,961 $ 2,407 LIABILITIES AND SHAREHOLDERS’ EQUITY CURRENT LIABILITIES: Accounts payable and other accrued liabilities $ 78 $ 80 Non-recourse asset-backed debt – current portion 691 52 Convertible senior notes – current portion 194 193 Interest payable 3 1 Lease liabilities – current portion 2 1 Total current liabilities 968 327 NON-RECOURSE ASSET-BACKED DEBT – Net of current portion 1,071 1,068 LEASE LIABILITIES – Net of current portion 6 6 OTHER LIABILITIES 2 1 Total liabilities 2,047 1,402 SHAREHOLDERS’ EQUITY: Common stock, $0.0001 par value; 3,000,000,000 shares authorized; 968,626,958 and 957,245,487 shares issued, respectively; 968,626,958 and 957,245,487 shares outstanding, respectively — — Additional paid-in capital 6,283 6,038 Accumulated deficit (5,368) (5,033) Accumulated other comprehensive loss (1) — Total shareholders’ equity 914 1,005 TOTAL LIABILITIES AND SHAREHOLDERS’ EQUITY $ 2,961 $ 2,407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OPENDOOR TECHNOLOGIES INC. CONDENSED CONSOLIDATED STATEMENTS OF CASH FLOWS (In millions) (Unaudited) Six Months Ended June 30, 2026 2025 CASH FLOWS FROM OPERATING ACTIVITIES: Net loss $ (335) $ (114) Adjustments to reconcile net loss to cash, cash equivalents, and restricted cash (used in) provided by operating activities: Depreciation and amortization  16 22 Amortization of right of use asset 1 1 Stock-based compensation 239 27 Inventory valuation adjustment 23 34 Change in fair value of equity securities — 3 Loss (gain) on early extinguishment of debt 1 (10) Other 5 4 Origination of mortgage loans held for sale (5) — Proceeds from sale and principal collections of mortgage loans held for sale 5 — Changes in operating assets and liabilities: Escrow receivable (9) (4) Real estate inventory (932) 593 Other assets 37 (11) Accounts payable and other accrued liabilities (11) (2) Interest payable 2 2 Lease liabilities (1) (1) Net cash (used in) provided by operating activities (964) 544 CASH FLOWS FROM INVESTING ACTIVITIES: Purchase of property and equipment (9) (6) Proceeds from sales, maturities, redemptions and paydowns of marketable securities — 6 Purchase of non-marketable equity securities (5) — Net cash (used in) provided by investing activities (14) — CASH FLOWS FROM FINANCING ACTIVITIES: Proceeds from issuance of convertible senior notes, net of discount — 75 Proceeds from issuance of common stock for ESPP 1 1 Proceeds from non-recourse asset-backed debt 781 671 Principal payments on non-recourse asset-backed debt (143) (853) Payment of loan origination fees and debt issuance costs — (16) Net cash provided by (used in) financing activities 639 (122) NET (DECREASE) INCREASE IN CASH, CASH EQUIVALENTS, AND RESTRICTED CASH (339) 422 CASH, CASH EQUIVALENTS, AND RESTRICTED CASH – Beginning of period 1,301 763 CASH, CASH EQUIVALENTS, AND RESTRICTED CASH – End of period $ 962 $ 1,185 SUPPLEMENTAL DISCLOSURE OF CASH FLOW INFORMATION – Cash paid during the period for interest $ 46 $ 62 DISCLOSURES OF NONCASH INVESTING AND FINANCING ACTIVITIES: Stock-based compensation expense capitalized for internally developed software $ 5 $ 2 Principal value of 2026 Notes extinguished in Debt Exchange $ — $ (246)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Principal value of 2030 Notes issued in Debt Exchange $ — $ 246 RECONCILIATION TO CONDENSED CONSOLIDATED BALANCE SHEETS: Cash and cash equivalents $ 896 $ 789 Restricted cash 66 396 Cash, cash equivalents, and restricted cash $ 962 $ 1,185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OPENDOOR TECHNOLOGIES INC. NON-GAAP FINANCIAL MEASURES (Unaudited) Reconciliation of our Adjusted Gross Profit and Contribution Profit to our Gross Profit and Adjusted EBITDA(11) to Contribution Profit Three Months Ended (in millions, except percentages and homes sold, or as noted) June 30, 2026 March 31, 2026 December 31, 2025 September 30, 2025 June 30, 2025 Revenue (GAAP) $ 883 $ 720 $ 736 $ 915 $ 1,567 Gross profit (GAAP) $ 86 $ 72 $ 57 $ 66 $ 128 Gross Margin 9.7 % 10.0 % 7.7 % 7.2 % 8.2 % Adjustments: Inventory valuation adjustment – Current Period (1)(2) 14 9 9 15 21 Inventory valuation adjustment – Prior Periods (1)(3) (9) (14) (21) (17) (14) Adjusted Gross Profit $ 91 $ 67 $ 45 $ 64 $ 135 Adjusted Gross Margin 10.3 % 9.3 % 6.1 % 7.0 % 8.6 % Adjustments: Direct selling costs (4) (29) (23) (23) (28) (43) Holding costs on sales – Current Period (5)(6) (3) (3) (4) (4) (6) Holding costs on sales – Prior Periods (5)(7) (8) (9) (11) (12) (17) Contribution Profit $ 51 $ 32 $ 7 $ 20 $ 69 Homes sold in period 2,339 1,921 1,978 2,568 4,299 Contribution Profit per Home Sold (in thousands) $ 22 $ 17 $ 4 $ 8 $ 16 Contribution Margin 5.8 % 4.4 % 1.0 % 2.2 % 4.4 % Adjustments: Advertising and other marketing expense (8) (5) (19) (9) (7) (7) Operations (8) (14) (12) (13) (12) (15) Fixed operating expense (8) (35) (33) (35) (37) (31) Holding costs timing adjustment (9) (1) 1 5 4 7 Rounding adjustment (10) — — 2 (1) — Adjusted EBITDA (11) $ (4) $ (31) $ (43) $ (33) $ 23 (1) Inventory valuation adjustment includes adjustments to record real estate inventory at the lower of its carrying amount or its net realizable value. (2) Inventory valuation adjustment — Current Period is the inventory valuation adjustments recorded during the period presented associated with homes that remain in inventory at period end. (3) Inventory valuation adjustment — Prior Periods is the inventory valuation adjustments recorded in prior periods associated with homes that sold in the period presented. (4) Represents selling costs incurred related to homes sold in the relevant period. This primarily includes broker commissions, external title and escrow-related fees and transfer taxes. Selling costs are included in Sales, marketing and operations on the condensed consolidated statements of operations. (5) Holding costs primarily include property taxes, insurance, utilities, homeowners association dues and maintenance costs. Holding costs are included in Sales, marketing, and operations on the condensed consolidated statements of operations. (6) Represents holding costs incurred in the period presented on homes sold in the period presented. (7) Represents holding costs incurred in prior periods on homes sold in the period presented. (8) Refer to Segment Information table. (9) The table below presents the timing difference within Adjusted Sales, marketing and operations related to holding costs. The amount of GAAP Holding Costs recognized during the period may be in excess of/ (less than) the amount of Resale Cohort Holding costs related to homes sold in the relevant period and included in Contribution Profit. Three Months Ended June 30, 2026 March 31, 2026 December 31, 2025 September 30, 2025 June 30, 2025 Total GAAP Holding Costs $ 12 $ 11 $ 10 $ 12 $ 16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Holding costs on sales - Current Period (3) (3) (4) (4) (6) Holding costs on sales - Prior Periods (8) (9) (11) (12) (17) Less: Resale Cohort Holding Costs (11) (12) (15) (16) (23) GAAP Holding Costs in excess of / (less than) Resale Holding Costs included in Contribution Profit $ 1 $ (1) $ (5) $ (4) $ (7) (10) Rounding adjustment included solely to ensure components equal the total; not a separate transaction. (11) Refer to the Reconciliation of our Adjusted Net Loss and Adjusted EBITDA to our Net Loss table for a reconciliation between Net Loss and Adjusted EBITDA.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OPENDOOR TECHNOLOGIES INC. NON-GAAP FINANCIAL MEASURES (Unaudited) Reconciliation of our Adjusted Net Loss and Adjusted EBITDA to our Net Loss Three Months Ended (in millions, except percentages) June 30, 2026 March 31, 2026 December 31, 2025 September 30, 2025 June 30, 2025 Revenue (GAAP) $ 883 $ 720 $ 736 $ 915 $ 1,567 Net loss (GAAP) $ (162) $ (173) $ (1,096) $ (90) $ (29) Adjustments: Stock-based compensation 19 15 16 13 13 Stock-based compensation for market condition RSUs 100 105 89 14 — Amortization of stock-based compensation capitalized to IDSW 3 3 3 4 4 Inventory valuation adjustment – Current Period(1)(2) 14 9 9 15 21 Inventory valuation adjustment — Prior Periods(1)(3) (9) (14) (21) (17) (14) Restructuring(4) 3 — — 1 6 CEO make-whole provision(5) 4 5 5 — — Loss (gain) on extinguishment of debt — 1 933 1 (10) Other(6) (2) — — (2) — Adjusted Net Loss $ (30) $ (49) $ (62) $ (61) $ (9) Adjustments: Depreciation and amortization, excluding amortization of intangibles 5 5 5 5 5 Property financing(7) 24 19 21 23 29 Other interest expense(8) 5 4 7 11 7 Interest income(9) (8) (10) (13) (12) (9) Income tax expense — — (1) 1 — Adjusted EBITDA $ (4) $ (31) $ (43) $ (33) $ 23 Adjusted EBITDA Margin (0.5) % (4.3) % (5.8) % (3.6) % 1.5 % (1) Inventory valuation adjustment includes adjustments to record real estate inventory at the lower of its carrying amount or its net realizable value. (2) Inventory valuation adjustment — Current Period is the inventory valuation adjustments recorded during the period presented associated with homes that remain in inventory at period end. (3) Inventory valuation adjustment — Prior Periods is the inventory valuation adjustments recorded in prior periods associated with homes that sold in the period presented. (4) Restructuring expense consists primarily of severance and other termination benefits for employees whose roles have been eliminated, consulting fees, and expenses related to the termination of certain leases incurred during the restructuring process. (5) In connection with the appointment of the Company's new Chief Executive Officer in September 2025, the Company granted two make-whole awards related to compensation forfeited from his former employer. The awards consist of (i) a $15 million cash award and (ii) a restricted stock unit award with a grant date value of $15 million. Both awards vest nine months after his start date, contingent upon his continued service as Chief Executive Officer through the vesting date, and are expensed over the requisite service period. The CEO make-whole provision adjustment reflects only the expense associated with the cash make-whole award. The expense associated with the restricted stock unit make-whole award is included in the stock-based compensation line item presented separately in the reconciliation above. (6) Primarily includes and related party services income. (7) Includes interest expense on our non-recourse asset-backed debt facilities. (8) Includes (i) amortization of debt issuance costs, loan origination fees, commitment fees, unused fees, and other interest-related costs on our asset-backed debt facilities, and (ii) amortization of debt issuance costs and debt discounts and interest expense related to our convertible senior notes. (9) Consists mainly of interest earned on cash, cash equivalents and restricted cash.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OPENDOOR TECHNOLOGIES INC. NON-GAAP FINANCIAL MEASURES (Unaudited) Reconciliation of our Adjusted Operating Expenses to our Operating Expenses Three Months Ended (in millions) June 30, 2026 March 31, 2026 December 31, 2025 September 30, 2025 June 30, 2025 OPERATING EXPENSES: Sales, marketing and operations 65 70 60 66 86 General and administrative 135 137 129 48 28 Technology and development 27 24 18 19 21 Restructuring 3 — — 1 6 Total Operating Expenses (GAAP) $ 230 $ 231 $ 207 $ 134 $ 141 Operating Expenses (GAAP) $ 230 $ 231 $ 207 $ 134 $ 141 Adjustments: Direct Selling Costs(1) (29) (23) (23) (28) (43) Holding costs included in contribution profit(2) (11) (12) (15) (16) (23) Stock-based compensation (19) (15) (16) (13) (13) Stock-based compensation for market condition RSUs (100) (105) (89) (14) — Amortization of stock-based compensation capitalized IDSW (3) (3) (3) (4) (4) Restructuring (3) — — (1) (6) CEO make-whole provision(3) (4) (5) (5) — — Depreciation and amortization, excluding amortization of intangibles (5) (5) (5) (5) (5) Other (1) — (1) — (1) Total Adjusted Operating Expenses (Non-GAAP) $ 55 $ 63 $ 50 $ 53 $ 46 (1) Represents selling costs incurred related to homes sold in the relevant period. This primarily includes broker commissions, external title and escrow-related fees and transfer taxes, and are included in Sales, marketing and operations. (2) Represents holding costs incurred in the period presented on homes sold in the period presented as well as holding costs incurred in prior periods on homes sold in the period presented (“Resale Cohort Holding Costs”). Holding costs include mainly property taxes, insurance, utilities, homeowners association dues and maintenance costs. Holding costs are included in Sales, marketing and operations on the condensed consolidated statements of operations in the period in which they are incurred (“GAAP Holding Costs”). (3) In connection with the appointment of the Company's new Chief Executive Officer in September 2025, the Company granted two make-whole awards related to compensation forfeited from his former employer. The awards consist of (i) a $15 million cash award and (ii) a restricted stock unit award with a grant date value of $15 million. Both awards vest nine months after his start date, contingent upon his continued service as Chief Executive Officer through the vesting date, and are expensed over the requisite service period. The CEO make-whole provision adjustment reflects only the expense associated with the cash make-whole award. The expense associated with the restricted stock unit make-whole award is included in the stock-based compensation line item presented separately in the reconciliation above.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OPENDOOR TECHNOLOGIES INC. SEGMENT INFORMATION (Unaudited) Three Months Ended (in millions) June 30, 2026 March 31, 2026 December 31, 2025 September 30, 2025 June 30, 2025 Revenue $ 883 $ 720 $ 736 $ 915 $ 1,567 Less: Cost of revenue (797) (648) (679) (849) (1,439) Direct selling costs(1) (29) (23) (23) (28) (43) Holding costs(2) (11) (12) (15) (16) (23) Advertising and other marketing expense(3) (5) (19) (9) (7) (7) Operations(4) (14) (12) (13) (12) (15) Fixed operating expense(5) (35) (33) (35) (37) (31) CEO make-whole provision(6) (4) (5) (5) — — Stock-based compensation (19) (15) (16) (13) (13) Stock-based compensation for market condition RSUs (100) (105) (89) (14) — Interest expense (29) (23) (28) (34) (36) Interest income 8 10 13 12 9 Other(7) (10) (8) (933) (7) 2 Net loss $ (162) $ (173) $ (1,096) $ (90) $ (29) (1) Represents selling costs incurred related to homes sold in the relevant period. This primarily includes broker commissions, external title and escrow-related fees and transfer taxes and are included in Sales, marketing and operations. (2) Represents holding costs incurred both in the period presented and in prior periods on homes sold in the period presented (“Resale Cohort Holding Costs”). Holding costs include mainly property taxes, insurance, utilities, homeowners association dues, cleaning and maintenance costs. Holding costs are included in Sales, marketing and operations in the period in which they are incurred (“GAAP Holding Costs”). (3) Advertising expenses are included in Sales, marketing and operations. Other marketing expenses include non-advertising marketing expenses such as acquisition leads and referrals and public relations services and are included in Sales, marketing and operations. (4) Represents operating expenses that are generally related to the volume of homes transacted during the period and tend to be variable in nature. Primarily includes workforce expenses in support of sales, and real estate inventory operations. (5) Represents operating expenses that are not directly correlated with home transaction volumes. These expenses generally include costs related to salaries and benefits for our leadership, finance, technology, human resources, legal, marketing and administrative personnel, as well as third-party professional services fees, rent expense and third-party software. (6) In connection with the appointment of the Company's new Chief Executive Officer in September 2025, the Company granted two make-whole awards related to compensation forfeited from his former employer. The awards consist of (i) a $15 million cash award and (ii) a restricted stock unit award with a grant date value of $15 million. Both awards vest nine months after his start date, contingent upon his continued service as Chief Executive Officer through the vesting date, and are expensed over the requisite service period. The CEO make-whole provision adjustment reflects only the expense associated with the cash make-whole award. The expense associated with the restricted stock unit make-whole award is included in the stock-based compensation line item presented separately in the reconciliation above. (7) Other segment income (expenses) are primarily made up of depreciation and amortization, gain on deconsolidation, net, restructuring, and amortization of stock-based compensation capitalized to internally developed software. This also includes the elimination of holding costs incurred in prior periods on homes sold in the periods presented, and includes holding costs incurred in the current period on homes remaining in inventory at period end.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hibit993-2q26opendoors.htm"/>
      <w:bookmarkStart w:id="3" w:name="ksexhibit9932q26opendoors"/>
      <w:bookmarkEnd w:id="2"/>
      <w:bookmarkEnd w:id="3"/>
      <w:r>
        <w:rPr/>
        <w:drawing>
          <wp:inline distT="0" distB="0" distL="0" distR="0">
            <wp:extent cx="10048875" cy="13001625"/>
            <wp:effectExtent l="0" t="0" r="0" b="0"/>
            <wp:docPr id="3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Supplemental Macro Charts 2Q26 2Q26 Macro Charts Exhibit 99.3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Supplemental Macro Charts 2Q26 1 Note: MLS Clearance Rate is defined as the number of daily contracts that enter pending status on the Multiple Listing Service (i.e. market listings), filtered for Opendoor’s markets and buybox, divided by the number of active listings on the Multiple Listing Service, filtered for the same markets and buybox. 2 Note: MLS OD Price-Weighted Gross Clearance Rate is defined as the number of daily contracts that enter pending status on the Multiple Listing Service (i.e. market listings), filtered for Opendoor’s markets and buybox, divided by the number of active listings on the Multiple Listing Service, filtered for the same markets and buybox, and weighted by Opendoor's price point and market mix, defined by the distribution of Opendoor's listed inventory across price points and markets. Trailing 7-Day MLS Clearance Rate1 MLS Data Filtered to Opendoor Markets and Buybox 1 Jan Feb Mar Apr May Jun Jul Aug Sep Oct Nov Dec Trailing 7-Day MLS OD Price-Weighted Gross Clearance Rate2 MLS Data Filtered to Opendoor Markets and Buybox Jan Feb Mar Apr May Jun Jul Aug Sep Oct Nov Dec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Supplemental Macro Charts 2Q26 Trailing 7-Day MLS Contracts MLS Data Filtered to Opendoor Markets and Buybox 2 Jan Feb Mar Apr May Jun Jul Aug Sep Oct Nov Dec Trailing 7-Day MLS Active Listings MLS Data Filtered to Opendoor Markets and Buybox Jan Feb Mar Apr May Jun Jul Aug Sep Oct Nov Dec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Supplemental Macro Charts 2Q26 Trailing 28-Day MLS Daily Delisting to Contract Ratio MLS Data Filtered to Opendoor Markets and Buybox; excludes California markets 3 Trailing 7-Day MLS New Listings MLS Data Filtered to Opendoor Markets and Buybox Jan Feb Mar Apr May Jun Jul Aug Sep Oct Nov Dec Jan Feb Mar Apr May Jun Jul Aug Sep Oct Nov Dec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Supplemental Macro Charts 2Q26 30-Day Rolling Home Price Appreciation (HPA) Weighted to Opendoor Markets; Non-Seasonally Adjusted 4 YoY Rolling Home Price Appreciation (HPA) Weighted to Opendoor Markets; Non-Seasonally Adjusted Jan Feb Mar Apr May Jun Jul Aug Sep Oct Nov Dec Jan Feb Mar Apr May Jun Jul Aug Sep Oct Nov Dec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Supplemental Macro Charts 2Q26 Trailing 28-Day Average of Daily New Delistings MLS Data Filtered to Opendoor Markets and Buybox; excludes California markets 5 Jan Feb Mar Apr May Jun Jul Aug Sep Oct Nov Dec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12241</Words>
  <Characters>66592</Characters>
  <CharactersWithSpaces>78109</CharactersWithSpaces>
  <Paragraphs>1423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exhibit993-2q26opendoors</dc:title>
</cp:coreProperties>
</file>