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3"/>
        <w:spacing w:after="0"/>
        <w:rPr>
          <w:sz w:val="20"/>
          <w:szCs w:val="20"/>
          <w:color w:val="auto"/>
        </w:rPr>
      </w:pPr>
      <w:r>
        <w:rPr>
          <w:rFonts w:ascii="Arial" w:cs="Arial" w:eastAsia="Arial" w:hAnsi="Arial"/>
          <w:sz w:val="43"/>
          <w:szCs w:val="43"/>
          <w:b w:val="1"/>
          <w:bCs w:val="1"/>
          <w:color w:val="auto"/>
        </w:rPr>
        <w:t>Opendoor Technologies Inc.</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683712103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 of 9</w:t>
      </w:r>
    </w:p>
    <w:p>
      <w:pPr>
        <w:spacing w:after="0" w:line="171"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375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75275"/>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SB Investment Advisers (UK) Limited</w:t>
      </w:r>
    </w:p>
    <w:p>
      <w:pPr>
        <w:spacing w:after="0" w:line="40"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20" w:hanging="37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England and Wales</w:t>
      </w:r>
    </w:p>
    <w:p>
      <w:pPr>
        <w:spacing w:after="0" w:line="4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41,420,282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41,420,282</w:t>
      </w:r>
    </w:p>
    <w:p>
      <w:pPr>
        <w:spacing w:after="0" w:line="40" w:lineRule="exact"/>
        <w:rPr>
          <w:sz w:val="20"/>
          <w:szCs w:val="20"/>
          <w:color w:val="auto"/>
        </w:rPr>
      </w:pPr>
    </w:p>
    <w:p>
      <w:pPr>
        <w:ind w:left="600" w:hanging="357"/>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41,420,282</w:t>
      </w:r>
    </w:p>
    <w:p>
      <w:pPr>
        <w:spacing w:after="0" w:line="40" w:lineRule="exact"/>
        <w:rPr>
          <w:sz w:val="20"/>
          <w:szCs w:val="20"/>
          <w:color w:val="auto"/>
        </w:rPr>
      </w:pPr>
    </w:p>
    <w:p>
      <w:pPr>
        <w:ind w:left="620" w:hanging="46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40" w:lineRule="exact"/>
        <w:rPr>
          <w:rFonts w:ascii="Arial" w:cs="Arial" w:eastAsia="Arial" w:hAnsi="Arial"/>
          <w:sz w:val="18"/>
          <w:szCs w:val="18"/>
          <w:color w:val="auto"/>
        </w:rPr>
      </w:pPr>
    </w:p>
    <w:p>
      <w:pPr>
        <w:ind w:left="620" w:hanging="46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6.8%</w:t>
      </w:r>
    </w:p>
    <w:p>
      <w:pPr>
        <w:spacing w:after="0" w:line="40" w:lineRule="exact"/>
        <w:rPr>
          <w:rFonts w:ascii="Arial" w:cs="Arial" w:eastAsia="Arial" w:hAnsi="Arial"/>
          <w:sz w:val="18"/>
          <w:szCs w:val="18"/>
          <w:color w:val="auto"/>
        </w:rPr>
      </w:pPr>
    </w:p>
    <w:p>
      <w:pPr>
        <w:ind w:left="600" w:hanging="447"/>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ectPr>
          <w:pgSz w:w="11900" w:h="16838" w:orient="portrait"/>
          <w:cols w:equalWidth="0" w:num="1">
            <w:col w:w="11020"/>
          </w:cols>
          <w:pgMar w:left="440" w:top="274" w:right="439" w:bottom="1440" w:gutter="0" w:footer="0" w:header="0"/>
        </w:sectPr>
      </w:pPr>
    </w:p>
    <w:bookmarkStart w:id="2" w:name="page3"/>
    <w:bookmarkEnd w:id="2"/>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683712103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2 of 9</w:t>
      </w:r>
    </w:p>
    <w:p>
      <w:pPr>
        <w:spacing w:after="0" w:line="171"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374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7464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SoftBank Vision Fund (AIV M1) L.P.</w:t>
      </w:r>
    </w:p>
    <w:p>
      <w:pPr>
        <w:spacing w:after="0" w:line="40"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4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41,420,282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41,420,282</w:t>
      </w:r>
    </w:p>
    <w:p>
      <w:pPr>
        <w:spacing w:after="0" w:line="40" w:lineRule="exact"/>
        <w:rPr>
          <w:sz w:val="20"/>
          <w:szCs w:val="20"/>
          <w:color w:val="auto"/>
        </w:rPr>
      </w:pPr>
    </w:p>
    <w:p>
      <w:pPr>
        <w:ind w:left="600" w:hanging="357"/>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41,420,282</w:t>
      </w:r>
    </w:p>
    <w:p>
      <w:pPr>
        <w:spacing w:after="0" w:line="40" w:lineRule="exact"/>
        <w:rPr>
          <w:sz w:val="20"/>
          <w:szCs w:val="20"/>
          <w:color w:val="auto"/>
        </w:rPr>
      </w:pPr>
    </w:p>
    <w:p>
      <w:pPr>
        <w:ind w:left="620" w:hanging="46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40" w:lineRule="exact"/>
        <w:rPr>
          <w:rFonts w:ascii="Arial" w:cs="Arial" w:eastAsia="Arial" w:hAnsi="Arial"/>
          <w:sz w:val="18"/>
          <w:szCs w:val="18"/>
          <w:color w:val="auto"/>
        </w:rPr>
      </w:pPr>
    </w:p>
    <w:p>
      <w:pPr>
        <w:ind w:left="620" w:hanging="46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6.8%</w:t>
      </w:r>
    </w:p>
    <w:p>
      <w:pPr>
        <w:spacing w:after="0" w:line="40" w:lineRule="exact"/>
        <w:rPr>
          <w:rFonts w:ascii="Arial" w:cs="Arial" w:eastAsia="Arial" w:hAnsi="Arial"/>
          <w:sz w:val="18"/>
          <w:szCs w:val="18"/>
          <w:color w:val="auto"/>
        </w:rPr>
      </w:pPr>
    </w:p>
    <w:p>
      <w:pPr>
        <w:ind w:left="600" w:hanging="447"/>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683712103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9</w:t>
      </w:r>
    </w:p>
    <w:p>
      <w:pPr>
        <w:spacing w:after="0" w:line="171"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375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375275"/>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SVF Endurance (Cayman) Limited</w:t>
      </w:r>
    </w:p>
    <w:p>
      <w:pPr>
        <w:spacing w:after="0" w:line="40" w:lineRule="exact"/>
        <w:rPr>
          <w:sz w:val="20"/>
          <w:szCs w:val="20"/>
          <w:color w:val="auto"/>
        </w:rPr>
      </w:pPr>
    </w:p>
    <w:p>
      <w:pPr>
        <w:ind w:left="620" w:hanging="37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20" w:hanging="377"/>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4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41,420,282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41,420,282</w:t>
      </w:r>
    </w:p>
    <w:p>
      <w:pPr>
        <w:spacing w:after="0" w:line="40" w:lineRule="exact"/>
        <w:rPr>
          <w:sz w:val="20"/>
          <w:szCs w:val="20"/>
          <w:color w:val="auto"/>
        </w:rPr>
      </w:pPr>
    </w:p>
    <w:p>
      <w:pPr>
        <w:ind w:left="600" w:hanging="357"/>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41,420,282</w:t>
      </w:r>
    </w:p>
    <w:p>
      <w:pPr>
        <w:spacing w:after="0" w:line="40" w:lineRule="exact"/>
        <w:rPr>
          <w:sz w:val="20"/>
          <w:szCs w:val="20"/>
          <w:color w:val="auto"/>
        </w:rPr>
      </w:pPr>
    </w:p>
    <w:p>
      <w:pPr>
        <w:ind w:left="620" w:hanging="467"/>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40" w:lineRule="exact"/>
        <w:rPr>
          <w:rFonts w:ascii="Arial" w:cs="Arial" w:eastAsia="Arial" w:hAnsi="Arial"/>
          <w:sz w:val="18"/>
          <w:szCs w:val="18"/>
          <w:color w:val="auto"/>
        </w:rPr>
      </w:pPr>
    </w:p>
    <w:p>
      <w:pPr>
        <w:ind w:left="620" w:hanging="467"/>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6.8%</w:t>
      </w:r>
    </w:p>
    <w:p>
      <w:pPr>
        <w:spacing w:after="0" w:line="40" w:lineRule="exact"/>
        <w:rPr>
          <w:rFonts w:ascii="Arial" w:cs="Arial" w:eastAsia="Arial" w:hAnsi="Arial"/>
          <w:sz w:val="18"/>
          <w:szCs w:val="18"/>
          <w:color w:val="auto"/>
        </w:rPr>
      </w:pPr>
    </w:p>
    <w:p>
      <w:pPr>
        <w:ind w:left="600" w:hanging="447"/>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683712103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9</w:t>
      </w:r>
    </w:p>
    <w:p>
      <w:pPr>
        <w:spacing w:after="0" w:line="171" w:lineRule="exact"/>
        <w:rPr>
          <w:sz w:val="20"/>
          <w:szCs w:val="20"/>
          <w:color w:val="auto"/>
        </w:rPr>
      </w:pPr>
    </w:p>
    <w:p>
      <w:pPr>
        <w:ind w:left="620" w:hanging="377"/>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374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37464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SVF Excalibur (Cayman) Limited</w:t>
      </w:r>
    </w:p>
    <w:p>
      <w:pPr>
        <w:spacing w:after="0" w:line="40" w:lineRule="exact"/>
        <w:rPr>
          <w:sz w:val="20"/>
          <w:szCs w:val="20"/>
          <w:color w:val="auto"/>
        </w:rPr>
      </w:pPr>
    </w:p>
    <w:p>
      <w:pPr>
        <w:ind w:left="620" w:hanging="37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20" w:hanging="377"/>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4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41,420,282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41,420,282</w:t>
      </w:r>
    </w:p>
    <w:p>
      <w:pPr>
        <w:spacing w:after="0" w:line="40" w:lineRule="exact"/>
        <w:rPr>
          <w:sz w:val="20"/>
          <w:szCs w:val="20"/>
          <w:color w:val="auto"/>
        </w:rPr>
      </w:pPr>
    </w:p>
    <w:p>
      <w:pPr>
        <w:ind w:left="600" w:hanging="357"/>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41,420,282</w:t>
      </w:r>
    </w:p>
    <w:p>
      <w:pPr>
        <w:spacing w:after="0" w:line="40" w:lineRule="exact"/>
        <w:rPr>
          <w:sz w:val="20"/>
          <w:szCs w:val="20"/>
          <w:color w:val="auto"/>
        </w:rPr>
      </w:pPr>
    </w:p>
    <w:p>
      <w:pPr>
        <w:ind w:left="620" w:hanging="46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40" w:lineRule="exact"/>
        <w:rPr>
          <w:rFonts w:ascii="Arial" w:cs="Arial" w:eastAsia="Arial" w:hAnsi="Arial"/>
          <w:sz w:val="18"/>
          <w:szCs w:val="18"/>
          <w:color w:val="auto"/>
        </w:rPr>
      </w:pPr>
    </w:p>
    <w:p>
      <w:pPr>
        <w:ind w:left="620" w:hanging="46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6.8%</w:t>
      </w:r>
    </w:p>
    <w:p>
      <w:pPr>
        <w:spacing w:after="0" w:line="40" w:lineRule="exact"/>
        <w:rPr>
          <w:rFonts w:ascii="Arial" w:cs="Arial" w:eastAsia="Arial" w:hAnsi="Arial"/>
          <w:sz w:val="18"/>
          <w:szCs w:val="18"/>
          <w:color w:val="auto"/>
        </w:rPr>
      </w:pPr>
    </w:p>
    <w:p>
      <w:pPr>
        <w:ind w:left="600" w:hanging="447"/>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ectPr>
          <w:pgSz w:w="11900" w:h="16838" w:orient="portrait"/>
          <w:cols w:equalWidth="0" w:num="1">
            <w:col w:w="11020"/>
          </w:cols>
          <w:pgMar w:left="440" w:top="274" w:right="439" w:bottom="1440" w:gutter="0" w:footer="0" w:header="0"/>
        </w:sectPr>
      </w:pPr>
    </w:p>
    <w:bookmarkStart w:id="5" w:name="page6"/>
    <w:bookmarkEnd w:id="5"/>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683712103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(a)  Name of Issuer:</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Opendoor Technologies Inc. (the “Issuer”)</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 Post Street, Floor 11</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Francisco, California 94104</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  Name of Person Filing:</w:t>
      </w:r>
    </w:p>
    <w:p>
      <w:pPr>
        <w:spacing w:after="0" w:line="121" w:lineRule="exact"/>
        <w:rPr>
          <w:sz w:val="20"/>
          <w:szCs w:val="20"/>
          <w:color w:val="auto"/>
        </w:rPr>
      </w:pPr>
    </w:p>
    <w:p>
      <w:pPr>
        <w:ind w:left="980" w:right="360" w:firstLine="401"/>
        <w:spacing w:after="0" w:line="277" w:lineRule="auto"/>
        <w:rPr>
          <w:sz w:val="20"/>
          <w:szCs w:val="20"/>
          <w:color w:val="auto"/>
        </w:rPr>
      </w:pPr>
      <w:r>
        <w:rPr>
          <w:rFonts w:ascii="Arial" w:cs="Arial" w:eastAsia="Arial" w:hAnsi="Arial"/>
          <w:sz w:val="18"/>
          <w:szCs w:val="18"/>
          <w:color w:val="auto"/>
        </w:rPr>
        <w:t>Each of the following is hereinafter individually referred to as a “Reporting Person” and collectively as the “Reporting Persons.” This statement is filed on behalf of:</w:t>
      </w:r>
    </w:p>
    <w:p>
      <w:pPr>
        <w:spacing w:after="0" w:line="6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SB Investment Advisers (UK) Limited (“SBIA UK”)</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SoftBank Vision Fund (AIV M1) L.P. (“AIV M1”)</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SVF Endurance (Cayman) Limited (“SVF Endurance”)</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SVF Excalibur (Cayman) Limited (“SVF Excalibur”)</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 Address or Principal Business Office:</w:t>
      </w:r>
    </w:p>
    <w:p>
      <w:pPr>
        <w:spacing w:after="0" w:line="121" w:lineRule="exact"/>
        <w:rPr>
          <w:sz w:val="20"/>
          <w:szCs w:val="20"/>
          <w:color w:val="auto"/>
        </w:rPr>
      </w:pPr>
    </w:p>
    <w:p>
      <w:pPr>
        <w:ind w:left="980" w:right="60" w:firstLine="401"/>
        <w:spacing w:after="0" w:line="263" w:lineRule="auto"/>
        <w:rPr>
          <w:sz w:val="20"/>
          <w:szCs w:val="20"/>
          <w:color w:val="auto"/>
        </w:rPr>
      </w:pPr>
      <w:r>
        <w:rPr>
          <w:rFonts w:ascii="Arial" w:cs="Arial" w:eastAsia="Arial" w:hAnsi="Arial"/>
          <w:sz w:val="18"/>
          <w:szCs w:val="18"/>
          <w:color w:val="auto"/>
        </w:rPr>
        <w:t>The address for SBIA UK is 69 Grosvenor Street, London W1K 3JP, United Kingdom. The address for AIV M1 is 251 Little Falls Drive, Wilmington, DE 19808. The address for each of SVF Endurance and SVF Excalibur is c/o Walkers, Cayman Corporate Centre, 190 Elgin Avenue, George Town, Grand Cayman, KY1-9008, Cayman Islands.</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  Citizenship of each Reporting Person is:</w:t>
      </w:r>
    </w:p>
    <w:p>
      <w:pPr>
        <w:spacing w:after="0" w:line="121" w:lineRule="exact"/>
        <w:rPr>
          <w:sz w:val="20"/>
          <w:szCs w:val="20"/>
          <w:color w:val="auto"/>
        </w:rPr>
      </w:pPr>
    </w:p>
    <w:p>
      <w:pPr>
        <w:ind w:left="980" w:right="120" w:firstLine="401"/>
        <w:spacing w:after="0" w:line="277" w:lineRule="auto"/>
        <w:rPr>
          <w:sz w:val="20"/>
          <w:szCs w:val="20"/>
          <w:color w:val="auto"/>
        </w:rPr>
      </w:pPr>
      <w:r>
        <w:rPr>
          <w:rFonts w:ascii="Arial" w:cs="Arial" w:eastAsia="Arial" w:hAnsi="Arial"/>
          <w:sz w:val="18"/>
          <w:szCs w:val="18"/>
          <w:color w:val="auto"/>
        </w:rPr>
        <w:t>SBIA UK is organized under the laws of England and Wales. AIV M1 is organized under the laws of the State of Delaware. Each of SVF Excalibur and SVF Endurance is organized under the laws of the Cayman Islands.</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Common stock, par value $0.0001 per share (“Common Stock”).</w:t>
      </w:r>
    </w:p>
    <w:p>
      <w:pPr>
        <w:spacing w:after="0" w:line="127" w:lineRule="exact"/>
        <w:rPr>
          <w:sz w:val="20"/>
          <w:szCs w:val="20"/>
          <w:color w:val="auto"/>
        </w:rPr>
      </w:pPr>
    </w:p>
    <w:p>
      <w:pPr>
        <w:ind w:left="1380" w:right="8640" w:hanging="615"/>
        <w:spacing w:after="0" w:line="445" w:lineRule="auto"/>
        <w:tabs>
          <w:tab w:leader="none" w:pos="1081"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683712103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CUSIP No. 683712103</w:t>
      </w:r>
    </w:p>
    <w:p>
      <w:pPr>
        <w:spacing w:after="0" w:line="20" w:lineRule="exact"/>
        <w:rPr>
          <w:sz w:val="20"/>
          <w:szCs w:val="20"/>
          <w:color w:val="auto"/>
        </w:rPr>
      </w:pPr>
      <w:r>
        <w:rPr>
          <w:sz w:val="20"/>
          <w:szCs w:val="20"/>
          <w:color w:val="auto"/>
        </w:rPr>
        <w:br w:type="column"/>
      </w:r>
    </w:p>
    <w:p>
      <w:pPr>
        <w:jc w:val="center"/>
        <w:ind w:right="3240"/>
        <w:spacing w:after="0"/>
        <w:rPr>
          <w:sz w:val="20"/>
          <w:szCs w:val="20"/>
          <w:color w:val="auto"/>
        </w:rPr>
      </w:pP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-194310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6 of 9</w:t>
      </w:r>
    </w:p>
    <w:p>
      <w:pPr>
        <w:spacing w:after="0" w:line="177" w:lineRule="exact"/>
        <w:rPr>
          <w:sz w:val="20"/>
          <w:szCs w:val="20"/>
          <w:color w:val="auto"/>
        </w:rPr>
      </w:pPr>
    </w:p>
    <w:p>
      <w:pPr>
        <w:sectPr>
          <w:pgSz w:w="11900" w:h="16838" w:orient="portrait"/>
          <w:cols w:equalWidth="0" w:num="3">
            <w:col w:w="4520" w:space="720"/>
            <w:col w:w="4240" w:space="720"/>
            <w:col w:w="820"/>
          </w:cols>
          <w:pgMar w:left="440" w:top="274" w:right="439" w:bottom="1440" w:gutter="0" w:footer="0" w:header="0"/>
        </w:sect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w:t>
      </w:r>
    </w:p>
    <w:p>
      <w:pPr>
        <w:spacing w:after="0" w:line="139" w:lineRule="exact"/>
        <w:rPr>
          <w:sz w:val="20"/>
          <w:szCs w:val="20"/>
          <w:color w:val="auto"/>
        </w:rPr>
      </w:pPr>
    </w:p>
    <w:p>
      <w:pPr>
        <w:sectPr>
          <w:pgSz w:w="11900" w:h="16838" w:orient="portrait"/>
          <w:cols w:equalWidth="0" w:num="2">
            <w:col w:w="660" w:space="420"/>
            <w:col w:w="9940"/>
          </w:cols>
          <w:pgMar w:left="440" w:top="274" w:right="439" w:bottom="1440" w:gutter="0" w:footer="0" w:header="0"/>
          <w:type w:val="continuous"/>
        </w:sectPr>
      </w:pPr>
    </w:p>
    <w:p>
      <w:pPr>
        <w:ind w:left="1100"/>
        <w:spacing w:after="0"/>
        <w:rPr>
          <w:sz w:val="20"/>
          <w:szCs w:val="20"/>
          <w:color w:val="auto"/>
        </w:rPr>
      </w:pPr>
      <w:r>
        <w:rPr>
          <w:rFonts w:ascii="Arial" w:cs="Arial" w:eastAsia="Arial" w:hAnsi="Arial"/>
          <w:sz w:val="16"/>
          <w:szCs w:val="16"/>
          <w:b w:val="1"/>
          <w:bCs w:val="1"/>
          <w:color w:val="auto"/>
        </w:rPr>
        <w:t>(a-c)</w:t>
      </w:r>
    </w:p>
    <w:p>
      <w:pPr>
        <w:sectPr>
          <w:pgSz w:w="11900" w:h="16838" w:orient="portrait"/>
          <w:cols w:equalWidth="0" w:num="1">
            <w:col w:w="11020"/>
          </w:cols>
          <w:pgMar w:left="440" w:top="274" w:right="439" w:bottom="1440" w:gutter="0" w:footer="0" w:header="0"/>
          <w:type w:val="continuous"/>
        </w:sectPr>
      </w:pPr>
    </w:p>
    <w:p>
      <w:pPr>
        <w:spacing w:after="0" w:line="144" w:lineRule="exact"/>
        <w:rPr>
          <w:sz w:val="20"/>
          <w:szCs w:val="20"/>
          <w:color w:val="auto"/>
        </w:rPr>
      </w:pPr>
    </w:p>
    <w:p>
      <w:pPr>
        <w:ind w:left="1100" w:right="280" w:firstLine="396"/>
        <w:spacing w:after="0" w:line="277" w:lineRule="auto"/>
        <w:rPr>
          <w:sz w:val="20"/>
          <w:szCs w:val="20"/>
          <w:color w:val="auto"/>
        </w:rPr>
      </w:pPr>
      <w:r>
        <w:rPr>
          <w:rFonts w:ascii="Arial" w:cs="Arial" w:eastAsia="Arial" w:hAnsi="Arial"/>
          <w:sz w:val="18"/>
          <w:szCs w:val="18"/>
          <w:color w:val="auto"/>
        </w:rPr>
        <w:t>The ownership information presented below represents beneficial ownership of Common Stock of the Issuer as of December 31, 2021, based upon 612,612,711 shares of Common Stock outstanding.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Sole</w:t>
            </w:r>
          </w:p>
        </w:tc>
        <w:tc>
          <w:tcPr>
            <w:tcW w:w="1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1"/>
              </w:rPr>
              <w:t>Sole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power to</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 vote</w:t>
            </w:r>
          </w:p>
        </w:tc>
        <w:tc>
          <w:tcPr>
            <w:tcW w:w="110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dispose or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240" w:type="dxa"/>
            <w:vAlign w:val="bottom"/>
            <w:vMerge w:val="restart"/>
          </w:tcPr>
          <w:p>
            <w:pPr>
              <w:jc w:val="center"/>
              <w:ind w:left="1018"/>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to</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9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Percent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direct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vote or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8"/>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2240" w:type="dxa"/>
            <w:vAlign w:val="bottom"/>
          </w:tcPr>
          <w:p>
            <w:pPr>
              <w:jc w:val="center"/>
              <w:ind w:left="1018"/>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900" w:type="dxa"/>
            <w:vAlign w:val="bottom"/>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disposition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76"/>
        </w:trPr>
        <w:tc>
          <w:tcPr>
            <w:tcW w:w="4100" w:type="dxa"/>
            <w:vAlign w:val="bottom"/>
            <w:vMerge w:val="continue"/>
          </w:tcPr>
          <w:p>
            <w:pPr>
              <w:spacing w:after="0"/>
              <w:rPr>
                <w:sz w:val="15"/>
                <w:szCs w:val="15"/>
                <w:color w:val="auto"/>
              </w:rPr>
            </w:pPr>
          </w:p>
        </w:tc>
        <w:tc>
          <w:tcPr>
            <w:tcW w:w="2240" w:type="dxa"/>
            <w:vAlign w:val="bottom"/>
          </w:tcPr>
          <w:p>
            <w:pPr>
              <w:jc w:val="center"/>
              <w:ind w:left="1038"/>
              <w:spacing w:after="0"/>
              <w:rPr>
                <w:sz w:val="20"/>
                <w:szCs w:val="20"/>
                <w:color w:val="auto"/>
              </w:rPr>
            </w:pPr>
            <w:r>
              <w:rPr>
                <w:rFonts w:ascii="Arial" w:cs="Arial" w:eastAsia="Arial" w:hAnsi="Arial"/>
                <w:sz w:val="14"/>
                <w:szCs w:val="14"/>
                <w:b w:val="1"/>
                <w:bCs w:val="1"/>
                <w:color w:val="auto"/>
                <w:w w:val="90"/>
              </w:rPr>
              <w:t>owned</w:t>
            </w: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rPr>
              <w:t>of class: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of:</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SB Investment Advisers (UK) Limited</w:t>
            </w:r>
          </w:p>
        </w:tc>
        <w:tc>
          <w:tcPr>
            <w:tcW w:w="2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41,420,282</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6.8%</w:t>
            </w:r>
          </w:p>
        </w:tc>
        <w:tc>
          <w:tcPr>
            <w:tcW w:w="7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41,420,282</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41,420,282</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SoftBank Vision Fund (AIV M1) L.P.</w:t>
            </w:r>
          </w:p>
        </w:tc>
        <w:tc>
          <w:tcPr>
            <w:tcW w:w="2240" w:type="dxa"/>
            <w:vAlign w:val="bottom"/>
          </w:tcPr>
          <w:p>
            <w:pPr>
              <w:jc w:val="right"/>
              <w:ind w:right="58"/>
              <w:spacing w:after="0"/>
              <w:rPr>
                <w:sz w:val="20"/>
                <w:szCs w:val="20"/>
                <w:color w:val="auto"/>
              </w:rPr>
            </w:pPr>
            <w:r>
              <w:rPr>
                <w:rFonts w:ascii="Arial" w:cs="Arial" w:eastAsia="Arial" w:hAnsi="Arial"/>
                <w:sz w:val="18"/>
                <w:szCs w:val="18"/>
                <w:color w:val="auto"/>
              </w:rPr>
              <w:t>41,420,282</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6.8%</w:t>
            </w:r>
          </w:p>
        </w:tc>
        <w:tc>
          <w:tcPr>
            <w:tcW w:w="700" w:type="dxa"/>
            <w:vAlign w:val="bottom"/>
          </w:tcPr>
          <w:p>
            <w:pPr>
              <w:jc w:val="right"/>
              <w:ind w:right="81"/>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60"/>
              <w:spacing w:after="0"/>
              <w:rPr>
                <w:sz w:val="20"/>
                <w:szCs w:val="20"/>
                <w:color w:val="auto"/>
              </w:rPr>
            </w:pPr>
            <w:r>
              <w:rPr>
                <w:rFonts w:ascii="Arial" w:cs="Arial" w:eastAsia="Arial" w:hAnsi="Arial"/>
                <w:sz w:val="18"/>
                <w:szCs w:val="18"/>
                <w:color w:val="auto"/>
              </w:rPr>
              <w:t>41,420,282</w:t>
            </w:r>
          </w:p>
        </w:tc>
        <w:tc>
          <w:tcPr>
            <w:tcW w:w="960" w:type="dxa"/>
            <w:vAlign w:val="bottom"/>
          </w:tcPr>
          <w:p>
            <w:pPr>
              <w:jc w:val="right"/>
              <w:ind w:right="81"/>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41,420,282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SVF Endurance (Cayman) Limited</w:t>
            </w:r>
          </w:p>
        </w:tc>
        <w:tc>
          <w:tcPr>
            <w:tcW w:w="2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41,420,282</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6.8%</w:t>
            </w:r>
          </w:p>
        </w:tc>
        <w:tc>
          <w:tcPr>
            <w:tcW w:w="7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41,420,282</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41,420,282</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SVF Excalibur (Cayman) Limited</w:t>
            </w:r>
          </w:p>
        </w:tc>
        <w:tc>
          <w:tcPr>
            <w:tcW w:w="2240" w:type="dxa"/>
            <w:vAlign w:val="bottom"/>
          </w:tcPr>
          <w:p>
            <w:pPr>
              <w:jc w:val="right"/>
              <w:ind w:right="58"/>
              <w:spacing w:after="0"/>
              <w:rPr>
                <w:sz w:val="20"/>
                <w:szCs w:val="20"/>
                <w:color w:val="auto"/>
              </w:rPr>
            </w:pPr>
            <w:r>
              <w:rPr>
                <w:rFonts w:ascii="Arial" w:cs="Arial" w:eastAsia="Arial" w:hAnsi="Arial"/>
                <w:sz w:val="18"/>
                <w:szCs w:val="18"/>
                <w:color w:val="auto"/>
              </w:rPr>
              <w:t>41,420,282</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6.8%</w:t>
            </w:r>
          </w:p>
        </w:tc>
        <w:tc>
          <w:tcPr>
            <w:tcW w:w="700" w:type="dxa"/>
            <w:vAlign w:val="bottom"/>
          </w:tcPr>
          <w:p>
            <w:pPr>
              <w:jc w:val="right"/>
              <w:ind w:right="81"/>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60"/>
              <w:spacing w:after="0"/>
              <w:rPr>
                <w:sz w:val="20"/>
                <w:szCs w:val="20"/>
                <w:color w:val="auto"/>
              </w:rPr>
            </w:pPr>
            <w:r>
              <w:rPr>
                <w:rFonts w:ascii="Arial" w:cs="Arial" w:eastAsia="Arial" w:hAnsi="Arial"/>
                <w:sz w:val="18"/>
                <w:szCs w:val="18"/>
                <w:color w:val="auto"/>
              </w:rPr>
              <w:t>41,420,282</w:t>
            </w:r>
          </w:p>
        </w:tc>
        <w:tc>
          <w:tcPr>
            <w:tcW w:w="960" w:type="dxa"/>
            <w:vAlign w:val="bottom"/>
          </w:tcPr>
          <w:p>
            <w:pPr>
              <w:jc w:val="right"/>
              <w:ind w:right="81"/>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41,420,282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100" w:right="60" w:firstLine="396"/>
        <w:spacing w:after="0" w:line="277" w:lineRule="auto"/>
        <w:rPr>
          <w:sz w:val="20"/>
          <w:szCs w:val="20"/>
          <w:color w:val="auto"/>
        </w:rPr>
      </w:pPr>
      <w:r>
        <w:rPr>
          <w:rFonts w:ascii="Arial" w:cs="Arial" w:eastAsia="Arial" w:hAnsi="Arial"/>
          <w:sz w:val="18"/>
          <w:szCs w:val="18"/>
          <w:color w:val="auto"/>
        </w:rPr>
        <w:t>SVF Excalibur is the record holder of the shares of Common Stock reported herein. SVF Excalibur is a wholly owned subsidiary of SVF Endurance, which is a wholly owned subsidiary of AIV M1.</w:t>
      </w:r>
    </w:p>
    <w:p>
      <w:pPr>
        <w:spacing w:after="0" w:line="62" w:lineRule="exact"/>
        <w:rPr>
          <w:sz w:val="20"/>
          <w:szCs w:val="20"/>
          <w:color w:val="auto"/>
        </w:rPr>
      </w:pPr>
    </w:p>
    <w:p>
      <w:pPr>
        <w:ind w:left="1100" w:right="100" w:firstLine="396"/>
        <w:spacing w:after="0" w:line="259" w:lineRule="auto"/>
        <w:rPr>
          <w:sz w:val="20"/>
          <w:szCs w:val="20"/>
          <w:color w:val="auto"/>
        </w:rPr>
      </w:pPr>
      <w:r>
        <w:rPr>
          <w:rFonts w:ascii="Arial" w:cs="Arial" w:eastAsia="Arial" w:hAnsi="Arial"/>
          <w:sz w:val="18"/>
          <w:szCs w:val="18"/>
          <w:color w:val="auto"/>
        </w:rPr>
        <w:t>SBIA UK has been appointed as alternative investment fund manager (“AIFM”) of AIV M1. SBIA UK is authorized and regulated by the UK Financial Conduct Authority and is exclusively responsible for making all decisions related to the acquisition, structuring, financing and disposal of AIV M1’s investments. As a result of these relationships, each of the Reporting Persons may be deemed to share beneficial ownership of the securities reported herein.</w:t>
      </w: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6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type w:val="continuous"/>
        </w:sectPr>
      </w:pPr>
    </w:p>
    <w:bookmarkStart w:id="7" w:name="page8"/>
    <w:bookmarkEnd w:id="7"/>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683712103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7 of 9</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0"/>
          </w:cols>
          <w:pgMar w:left="440" w:top="274" w:right="439" w:bottom="1440" w:gutter="0" w:footer="0" w:header="0"/>
        </w:sectPr>
      </w:pPr>
    </w:p>
    <w:bookmarkStart w:id="8" w:name="page9"/>
    <w:bookmarkEnd w:id="8"/>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683712103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8 of 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February 14,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SB Investment Advisers (UK)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Spencer Collins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Spencer Collins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SoftBank Vision Fund (AIV M1)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SB Investment Advisers (UK) Limited, its Manager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Spencer Collins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Spencer Collins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SVF Endurance (Cayman)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Karen Ellerbe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Karen Ellerbe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SVF Excalibur (Cayman)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Karen Ellerbe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Karen Ellerbe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1020"/>
          </w:cols>
          <w:pgMar w:left="440" w:top="274"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CUSIP No. 683712103</w:t>
            </w:r>
          </w:p>
        </w:tc>
        <w:tc>
          <w:tcPr>
            <w:tcW w:w="3640" w:type="dxa"/>
            <w:vAlign w:val="bottom"/>
          </w:tcPr>
          <w:p>
            <w:pPr>
              <w:ind w:left="620"/>
              <w:spacing w:after="0"/>
              <w:rPr>
                <w:sz w:val="20"/>
                <w:szCs w:val="20"/>
                <w:color w:val="auto"/>
              </w:rPr>
            </w:pPr>
            <w:r>
              <w:rPr>
                <w:rFonts w:ascii="Arial" w:cs="Arial" w:eastAsia="Arial" w:hAnsi="Arial"/>
                <w:sz w:val="18"/>
                <w:szCs w:val="18"/>
                <w:color w:val="auto"/>
              </w:rPr>
              <w:t>Schedule 13G</w:t>
            </w:r>
          </w:p>
        </w:tc>
        <w:tc>
          <w:tcPr>
            <w:tcW w:w="2760" w:type="dxa"/>
            <w:vAlign w:val="bottom"/>
          </w:tcPr>
          <w:p>
            <w:pPr>
              <w:ind w:left="1940"/>
              <w:spacing w:after="0"/>
              <w:rPr>
                <w:sz w:val="20"/>
                <w:szCs w:val="20"/>
                <w:color w:val="auto"/>
              </w:rPr>
            </w:pPr>
            <w:r>
              <w:rPr>
                <w:rFonts w:ascii="Arial" w:cs="Arial" w:eastAsia="Arial" w:hAnsi="Arial"/>
                <w:sz w:val="18"/>
                <w:szCs w:val="18"/>
                <w:color w:val="auto"/>
                <w:w w:val="86"/>
              </w:rPr>
              <w:t>Page 9 of 9</w:t>
            </w:r>
          </w:p>
        </w:tc>
      </w:tr>
      <w:tr>
        <w:trPr>
          <w:trHeight w:val="365"/>
        </w:trPr>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40" w:type="dxa"/>
            <w:vAlign w:val="bottom"/>
          </w:tcPr>
          <w:p>
            <w:pPr>
              <w:ind w:left="80"/>
              <w:spacing w:after="0"/>
              <w:rPr>
                <w:sz w:val="20"/>
                <w:szCs w:val="20"/>
                <w:color w:val="auto"/>
              </w:rPr>
            </w:pPr>
            <w:r>
              <w:rPr>
                <w:rFonts w:ascii="Arial" w:cs="Arial" w:eastAsia="Arial" w:hAnsi="Arial"/>
                <w:sz w:val="18"/>
                <w:szCs w:val="18"/>
                <w:b w:val="1"/>
                <w:bCs w:val="1"/>
                <w:color w:val="auto"/>
              </w:rPr>
              <w:t>LIST OF EXHIBITS</w:t>
            </w:r>
          </w:p>
        </w:tc>
        <w:tc>
          <w:tcPr>
            <w:tcW w:w="2760" w:type="dxa"/>
            <w:vAlign w:val="bottom"/>
          </w:tcPr>
          <w:p>
            <w:pPr>
              <w:spacing w:after="0"/>
              <w:rPr>
                <w:sz w:val="24"/>
                <w:szCs w:val="24"/>
                <w:color w:val="auto"/>
              </w:rPr>
            </w:pPr>
          </w:p>
        </w:tc>
      </w:tr>
      <w:tr>
        <w:trPr>
          <w:trHeight w:val="3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w:t>
            </w:r>
          </w:p>
        </w:tc>
        <w:tc>
          <w:tcPr>
            <w:tcW w:w="3900" w:type="dxa"/>
            <w:vAlign w:val="bottom"/>
            <w:gridSpan w:val="3"/>
          </w:tcPr>
          <w:p>
            <w:pPr>
              <w:ind w:left="820"/>
              <w:spacing w:after="0"/>
              <w:rPr>
                <w:sz w:val="20"/>
                <w:szCs w:val="20"/>
                <w:color w:val="auto"/>
              </w:rPr>
            </w:pPr>
            <w:r>
              <w:rPr>
                <w:rFonts w:ascii="Arial" w:cs="Arial" w:eastAsia="Arial" w:hAnsi="Arial"/>
                <w:sz w:val="18"/>
                <w:szCs w:val="18"/>
                <w:color w:val="auto"/>
                <w:w w:val="95"/>
              </w:rPr>
              <w:t>Joint Filing Agreement (previously filed).</w:t>
            </w:r>
          </w:p>
        </w:tc>
        <w:tc>
          <w:tcPr>
            <w:tcW w:w="364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2"/>
      <w:numFmt w:val="bullet"/>
      <w:start w:val="1"/>
    </w:lvl>
  </w:abstractNum>
  <w:abstractNum w:abstractNumId="6">
    <w:nsid w:val="431BD7B7"/>
    <w:multiLevelType w:val="hybridMultilevel"/>
    <w:lvl w:ilvl="0">
      <w:lvlJc w:val="left"/>
      <w:lvlText w:val="3"/>
      <w:numFmt w:val="bullet"/>
      <w:start w:val="1"/>
    </w:lvl>
  </w:abstractNum>
  <w:abstractNum w:abstractNumId="7">
    <w:nsid w:val="3F2DBA31"/>
    <w:multiLevelType w:val="hybridMultilevel"/>
    <w:lvl w:ilvl="0">
      <w:lvlJc w:val="left"/>
      <w:lvlText w:val="4"/>
      <w:numFmt w:val="bullet"/>
      <w:start w:val="1"/>
    </w:lvl>
  </w:abstractNum>
  <w:abstractNum w:abstractNumId="8">
    <w:nsid w:val="7C83E458"/>
    <w:multiLevelType w:val="hybridMultilevel"/>
    <w:lvl w:ilvl="0">
      <w:lvlJc w:val="left"/>
      <w:lvlText w:val="9"/>
      <w:numFmt w:val="bullet"/>
      <w:start w:val="1"/>
    </w:lvl>
  </w:abstractNum>
  <w:abstractNum w:abstractNumId="9">
    <w:nsid w:val="257130A3"/>
    <w:multiLevelType w:val="hybridMultilevel"/>
    <w:lvl w:ilvl="0">
      <w:lvlJc w:val="left"/>
      <w:lvlText w:val="%1"/>
      <w:numFmt w:val="decimal"/>
      <w:start w:val="10"/>
    </w:lvl>
  </w:abstractNum>
  <w:abstractNum w:abstractNumId="10">
    <w:nsid w:val="62BBD95A"/>
    <w:multiLevelType w:val="hybridMultilevel"/>
    <w:lvl w:ilvl="0">
      <w:lvlJc w:val="left"/>
      <w:lvlText w:val="1"/>
      <w:numFmt w:val="bullet"/>
      <w:start w:val="1"/>
    </w:lvl>
  </w:abstractNum>
  <w:abstractNum w:abstractNumId="11">
    <w:nsid w:val="436C6125"/>
    <w:multiLevelType w:val="hybridMultilevel"/>
    <w:lvl w:ilvl="0">
      <w:lvlJc w:val="left"/>
      <w:lvlText w:val="2"/>
      <w:numFmt w:val="bullet"/>
      <w:start w:val="1"/>
    </w:lvl>
  </w:abstractNum>
  <w:abstractNum w:abstractNumId="12">
    <w:nsid w:val="628C895D"/>
    <w:multiLevelType w:val="hybridMultilevel"/>
    <w:lvl w:ilvl="0">
      <w:lvlJc w:val="left"/>
      <w:lvlText w:val="3"/>
      <w:numFmt w:val="bullet"/>
      <w:start w:val="1"/>
    </w:lvl>
  </w:abstractNum>
  <w:abstractNum w:abstractNumId="13">
    <w:nsid w:val="333AB105"/>
    <w:multiLevelType w:val="hybridMultilevel"/>
    <w:lvl w:ilvl="0">
      <w:lvlJc w:val="left"/>
      <w:lvlText w:val="4"/>
      <w:numFmt w:val="bullet"/>
      <w:start w:val="1"/>
    </w:lvl>
  </w:abstractNum>
  <w:abstractNum w:abstractNumId="14">
    <w:nsid w:val="721DA317"/>
    <w:multiLevelType w:val="hybridMultilevel"/>
    <w:lvl w:ilvl="0">
      <w:lvlJc w:val="left"/>
      <w:lvlText w:val="9"/>
      <w:numFmt w:val="bullet"/>
      <w:start w:val="1"/>
    </w:lvl>
  </w:abstractNum>
  <w:abstractNum w:abstractNumId="15">
    <w:nsid w:val="2443A858"/>
    <w:multiLevelType w:val="hybridMultilevel"/>
    <w:lvl w:ilvl="0">
      <w:lvlJc w:val="left"/>
      <w:lvlText w:val="%1"/>
      <w:numFmt w:val="decimal"/>
      <w:start w:val="10"/>
    </w:lvl>
  </w:abstractNum>
  <w:abstractNum w:abstractNumId="16">
    <w:nsid w:val="2D1D5AE9"/>
    <w:multiLevelType w:val="hybridMultilevel"/>
    <w:lvl w:ilvl="0">
      <w:lvlJc w:val="left"/>
      <w:lvlText w:val="1"/>
      <w:numFmt w:val="bullet"/>
      <w:start w:val="1"/>
    </w:lvl>
  </w:abstractNum>
  <w:abstractNum w:abstractNumId="17">
    <w:nsid w:val="6763845E"/>
    <w:multiLevelType w:val="hybridMultilevel"/>
    <w:lvl w:ilvl="0">
      <w:lvlJc w:val="left"/>
      <w:lvlText w:val="2"/>
      <w:numFmt w:val="bullet"/>
      <w:start w:val="1"/>
    </w:lvl>
  </w:abstractNum>
  <w:abstractNum w:abstractNumId="18">
    <w:nsid w:val="75A2A8D4"/>
    <w:multiLevelType w:val="hybridMultilevel"/>
    <w:lvl w:ilvl="0">
      <w:lvlJc w:val="left"/>
      <w:lvlText w:val="3"/>
      <w:numFmt w:val="bullet"/>
      <w:start w:val="1"/>
    </w:lvl>
  </w:abstractNum>
  <w:abstractNum w:abstractNumId="19">
    <w:nsid w:val="8EDBDAB"/>
    <w:multiLevelType w:val="hybridMultilevel"/>
    <w:lvl w:ilvl="0">
      <w:lvlJc w:val="left"/>
      <w:lvlText w:val="4"/>
      <w:numFmt w:val="bullet"/>
      <w:start w:val="1"/>
    </w:lvl>
  </w:abstractNum>
  <w:abstractNum w:abstractNumId="20">
    <w:nsid w:val="79838CB2"/>
    <w:multiLevelType w:val="hybridMultilevel"/>
    <w:lvl w:ilvl="0">
      <w:lvlJc w:val="left"/>
      <w:lvlText w:val="9"/>
      <w:numFmt w:val="bullet"/>
      <w:start w:val="1"/>
    </w:lvl>
  </w:abstractNum>
  <w:abstractNum w:abstractNumId="21">
    <w:nsid w:val="4353D0CD"/>
    <w:multiLevelType w:val="hybridMultilevel"/>
    <w:lvl w:ilvl="0">
      <w:lvlJc w:val="left"/>
      <w:lvlText w:val="%1"/>
      <w:numFmt w:val="decimal"/>
      <w:start w:val="10"/>
    </w:lvl>
  </w:abstractNum>
  <w:abstractNum w:abstractNumId="22">
    <w:nsid w:val="B03E0C6"/>
    <w:multiLevelType w:val="hybridMultilevel"/>
    <w:lvl w:ilvl="0">
      <w:lvlJc w:val="left"/>
      <w:lvlText w:val="1"/>
      <w:numFmt w:val="bullet"/>
      <w:start w:val="1"/>
    </w:lvl>
  </w:abstractNum>
  <w:abstractNum w:abstractNumId="23">
    <w:nsid w:val="189A769B"/>
    <w:multiLevelType w:val="hybridMultilevel"/>
    <w:lvl w:ilvl="0">
      <w:lvlJc w:val="left"/>
      <w:lvlText w:val="2"/>
      <w:numFmt w:val="bullet"/>
      <w:start w:val="1"/>
    </w:lvl>
  </w:abstractNum>
  <w:abstractNum w:abstractNumId="24">
    <w:nsid w:val="54E49EB4"/>
    <w:multiLevelType w:val="hybridMultilevel"/>
    <w:lvl w:ilvl="0">
      <w:lvlJc w:val="left"/>
      <w:lvlText w:val="3"/>
      <w:numFmt w:val="bullet"/>
      <w:start w:val="1"/>
    </w:lvl>
  </w:abstractNum>
  <w:abstractNum w:abstractNumId="25">
    <w:nsid w:val="71F32454"/>
    <w:multiLevelType w:val="hybridMultilevel"/>
    <w:lvl w:ilvl="0">
      <w:lvlJc w:val="left"/>
      <w:lvlText w:val="4"/>
      <w:numFmt w:val="bullet"/>
      <w:start w:val="1"/>
    </w:lvl>
  </w:abstractNum>
  <w:abstractNum w:abstractNumId="26">
    <w:nsid w:val="2CA88611"/>
    <w:multiLevelType w:val="hybridMultilevel"/>
    <w:lvl w:ilvl="0">
      <w:lvlJc w:val="left"/>
      <w:lvlText w:val="9"/>
      <w:numFmt w:val="bullet"/>
      <w:start w:val="1"/>
    </w:lvl>
  </w:abstractNum>
  <w:abstractNum w:abstractNumId="27">
    <w:nsid w:val="836C40E"/>
    <w:multiLevelType w:val="hybridMultilevel"/>
    <w:lvl w:ilvl="0">
      <w:lvlJc w:val="left"/>
      <w:lvlText w:val="%1"/>
      <w:numFmt w:val="decimal"/>
      <w:start w:val="10"/>
    </w:lvl>
  </w:abstractNum>
  <w:abstractNum w:abstractNumId="28">
    <w:nsid w:val="2901D8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2022-02-14T08:42:27Z</dcterms:created>
  <dcterms:modified xsi:type="dcterms:W3CDTF">2022-02-14T08:42:27Z</dcterms:modified>
</cp:coreProperties>
</file>