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As filed with the Securities and Exchange Commission on February 4, 2021</w:t>
      </w:r>
    </w:p>
    <w:p>
      <w:pPr>
        <w:spacing w:after="0" w:line="225"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3"/>
          <w:szCs w:val="23"/>
          <w:b w:val="1"/>
          <w:bCs w:val="1"/>
          <w:color w:val="auto"/>
        </w:rPr>
        <w:t>FORM S-1</w:t>
      </w:r>
    </w:p>
    <w:p>
      <w:pPr>
        <w:spacing w:after="0" w:line="28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SECURITIES ACT OF 1933</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Opendoor Technologies Inc.</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20"/>
        </w:trPr>
        <w:tc>
          <w:tcPr>
            <w:tcW w:w="298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9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7372</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89"/>
              </w:rPr>
              <w:t>98-1515020</w:t>
            </w:r>
          </w:p>
        </w:tc>
      </w:tr>
      <w:tr>
        <w:trPr>
          <w:trHeight w:val="216"/>
        </w:trPr>
        <w:tc>
          <w:tcPr>
            <w:tcW w:w="2980" w:type="dxa"/>
            <w:vAlign w:val="bottom"/>
          </w:tcPr>
          <w:p>
            <w:pPr>
              <w:jc w:val="center"/>
              <w:ind w:right="730"/>
              <w:spacing w:after="0"/>
              <w:rPr>
                <w:sz w:val="20"/>
                <w:szCs w:val="20"/>
                <w:color w:val="auto"/>
              </w:rPr>
            </w:pPr>
            <w:r>
              <w:rPr>
                <w:rFonts w:ascii="Arial" w:cs="Arial" w:eastAsia="Arial" w:hAnsi="Arial"/>
                <w:sz w:val="18"/>
                <w:szCs w:val="18"/>
                <w:color w:val="auto"/>
                <w:w w:val="92"/>
              </w:rPr>
              <w:t>(State or other jurisdiction of</w:t>
            </w:r>
          </w:p>
        </w:tc>
        <w:tc>
          <w:tcPr>
            <w:tcW w:w="3940" w:type="dxa"/>
            <w:vAlign w:val="bottom"/>
          </w:tcPr>
          <w:p>
            <w:pPr>
              <w:jc w:val="center"/>
              <w:ind w:right="110"/>
              <w:spacing w:after="0"/>
              <w:rPr>
                <w:sz w:val="20"/>
                <w:szCs w:val="20"/>
                <w:color w:val="auto"/>
              </w:rPr>
            </w:pPr>
            <w:r>
              <w:rPr>
                <w:rFonts w:ascii="Arial" w:cs="Arial" w:eastAsia="Arial" w:hAnsi="Arial"/>
                <w:sz w:val="18"/>
                <w:szCs w:val="18"/>
                <w:color w:val="auto"/>
                <w:w w:val="91"/>
              </w:rPr>
              <w:t>(Primary Standard Industrial</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298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940" w:type="dxa"/>
            <w:vAlign w:val="bottom"/>
          </w:tcPr>
          <w:p>
            <w:pPr>
              <w:jc w:val="center"/>
              <w:ind w:right="110"/>
              <w:spacing w:after="0"/>
              <w:rPr>
                <w:sz w:val="20"/>
                <w:szCs w:val="20"/>
                <w:color w:val="auto"/>
              </w:rPr>
            </w:pPr>
            <w:r>
              <w:rPr>
                <w:rFonts w:ascii="Arial" w:cs="Arial" w:eastAsia="Arial" w:hAnsi="Arial"/>
                <w:sz w:val="18"/>
                <w:szCs w:val="18"/>
                <w:color w:val="auto"/>
                <w:w w:val="91"/>
              </w:rPr>
              <w:t>Classification Code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N. Scottsdale Road, Suite 1600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(415) 896-6737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Carrie Wheeler</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Opendoor Technologies Inc.</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N. Scottsdale Road, Suite 1600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Tempe, Arizona 85281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(415) 896-6737</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Copies of all communications, including communications sent to agent for service, should be sent to:</w:t>
      </w:r>
    </w:p>
    <w:p>
      <w:pPr>
        <w:spacing w:after="0" w:line="22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8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Rachel W. Sheridan, Esq.</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7"/>
              </w:rPr>
              <w:t>Elizabeth Stevens</w:t>
            </w: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89"/>
              </w:rPr>
              <w:t>Dave Peinsipp</w:t>
            </w:r>
          </w:p>
        </w:tc>
      </w:tr>
      <w:tr>
        <w:trPr>
          <w:trHeight w:val="216"/>
        </w:trPr>
        <w:tc>
          <w:tcPr>
            <w:tcW w:w="2820" w:type="dxa"/>
            <w:vAlign w:val="bottom"/>
          </w:tcPr>
          <w:p>
            <w:pPr>
              <w:jc w:val="center"/>
              <w:ind w:right="610"/>
              <w:spacing w:after="0"/>
              <w:rPr>
                <w:sz w:val="20"/>
                <w:szCs w:val="20"/>
                <w:color w:val="auto"/>
              </w:rPr>
            </w:pPr>
            <w:r>
              <w:rPr>
                <w:rFonts w:ascii="Arial" w:cs="Arial" w:eastAsia="Arial" w:hAnsi="Arial"/>
                <w:sz w:val="18"/>
                <w:szCs w:val="18"/>
                <w:b w:val="1"/>
                <w:bCs w:val="1"/>
                <w:color w:val="auto"/>
                <w:w w:val="88"/>
              </w:rPr>
              <w:t>Shagufa R. Hossain, Esq.</w:t>
            </w:r>
          </w:p>
        </w:tc>
        <w:tc>
          <w:tcPr>
            <w:tcW w:w="394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Head of Legal</w:t>
            </w: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91"/>
              </w:rPr>
              <w:t>Kristin VanderPas</w:t>
            </w:r>
          </w:p>
        </w:tc>
      </w:tr>
      <w:tr>
        <w:trPr>
          <w:trHeight w:val="216"/>
        </w:trPr>
        <w:tc>
          <w:tcPr>
            <w:tcW w:w="28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Christopher M. Bezeg, Esq.</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8"/>
              </w:rPr>
              <w:t>Opendoor Technologies Inc.</w:t>
            </w: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Charles S. Kim</w:t>
            </w:r>
          </w:p>
        </w:tc>
      </w:tr>
      <w:tr>
        <w:trPr>
          <w:trHeight w:val="216"/>
        </w:trPr>
        <w:tc>
          <w:tcPr>
            <w:tcW w:w="2820" w:type="dxa"/>
            <w:vAlign w:val="bottom"/>
          </w:tcPr>
          <w:p>
            <w:pPr>
              <w:jc w:val="center"/>
              <w:ind w:right="610"/>
              <w:spacing w:after="0"/>
              <w:rPr>
                <w:sz w:val="20"/>
                <w:szCs w:val="20"/>
                <w:color w:val="auto"/>
              </w:rPr>
            </w:pPr>
            <w:r>
              <w:rPr>
                <w:rFonts w:ascii="Arial" w:cs="Arial" w:eastAsia="Arial" w:hAnsi="Arial"/>
                <w:sz w:val="18"/>
                <w:szCs w:val="18"/>
                <w:b w:val="1"/>
                <w:bCs w:val="1"/>
                <w:color w:val="auto"/>
                <w:w w:val="96"/>
              </w:rPr>
              <w:t>Latham &amp; Watkins LLP</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9"/>
              </w:rPr>
              <w:t>410 N. Scottsdale Road, Suite 1600</w:t>
            </w: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90"/>
              </w:rPr>
              <w:t>Denny Won</w:t>
            </w:r>
          </w:p>
        </w:tc>
      </w:tr>
      <w:tr>
        <w:trPr>
          <w:trHeight w:val="216"/>
        </w:trPr>
        <w:tc>
          <w:tcPr>
            <w:tcW w:w="28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885 Third Avenue</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89"/>
              </w:rPr>
              <w:t>Tempe, Arizona 85281</w:t>
            </w: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94"/>
              </w:rPr>
              <w:t>Cooley LLP</w:t>
            </w:r>
          </w:p>
        </w:tc>
      </w:tr>
      <w:tr>
        <w:trPr>
          <w:trHeight w:val="216"/>
        </w:trPr>
        <w:tc>
          <w:tcPr>
            <w:tcW w:w="282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New York, New York 10022</w:t>
            </w:r>
          </w:p>
        </w:tc>
        <w:tc>
          <w:tcPr>
            <w:tcW w:w="3940" w:type="dxa"/>
            <w:vAlign w:val="bottom"/>
          </w:tcPr>
          <w:p>
            <w:pPr>
              <w:jc w:val="center"/>
              <w:spacing w:after="0"/>
              <w:rPr>
                <w:sz w:val="20"/>
                <w:szCs w:val="20"/>
                <w:color w:val="auto"/>
              </w:rPr>
            </w:pPr>
            <w:r>
              <w:rPr>
                <w:rFonts w:ascii="Arial" w:cs="Arial" w:eastAsia="Arial" w:hAnsi="Arial"/>
                <w:sz w:val="18"/>
                <w:szCs w:val="18"/>
                <w:b w:val="1"/>
                <w:bCs w:val="1"/>
                <w:color w:val="auto"/>
                <w:w w:val="92"/>
              </w:rPr>
              <w:t>(415) 896-6737</w:t>
            </w: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101 California Street, 5th Floor</w:t>
            </w:r>
          </w:p>
        </w:tc>
      </w:tr>
      <w:tr>
        <w:trPr>
          <w:trHeight w:val="216"/>
        </w:trPr>
        <w:tc>
          <w:tcPr>
            <w:tcW w:w="2820" w:type="dxa"/>
            <w:vAlign w:val="bottom"/>
          </w:tcPr>
          <w:p>
            <w:pPr>
              <w:jc w:val="center"/>
              <w:ind w:right="610"/>
              <w:spacing w:after="0"/>
              <w:rPr>
                <w:sz w:val="20"/>
                <w:szCs w:val="20"/>
                <w:color w:val="auto"/>
              </w:rPr>
            </w:pPr>
            <w:r>
              <w:rPr>
                <w:rFonts w:ascii="Arial" w:cs="Arial" w:eastAsia="Arial" w:hAnsi="Arial"/>
                <w:sz w:val="18"/>
                <w:szCs w:val="18"/>
                <w:b w:val="1"/>
                <w:bCs w:val="1"/>
                <w:color w:val="auto"/>
                <w:w w:val="90"/>
              </w:rPr>
              <w:t>(212) 906-1200</w:t>
            </w:r>
          </w:p>
        </w:tc>
        <w:tc>
          <w:tcPr>
            <w:tcW w:w="3940" w:type="dxa"/>
            <w:vAlign w:val="bottom"/>
          </w:tcPr>
          <w:p>
            <w:pPr>
              <w:spacing w:after="0"/>
              <w:rPr>
                <w:sz w:val="18"/>
                <w:szCs w:val="18"/>
                <w:color w:val="auto"/>
              </w:rPr>
            </w:pPr>
          </w:p>
        </w:tc>
        <w:tc>
          <w:tcPr>
            <w:tcW w:w="306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San Francisco, California 94111</w:t>
            </w:r>
          </w:p>
        </w:tc>
      </w:tr>
      <w:tr>
        <w:trPr>
          <w:trHeight w:val="234"/>
        </w:trPr>
        <w:tc>
          <w:tcPr>
            <w:tcW w:w="28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06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(415) 693-2000</w:t>
            </w:r>
          </w:p>
        </w:tc>
      </w:tr>
    </w:tbl>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As soon as practicable after this Registration Statement becomes effective.</w:t>
      </w:r>
    </w:p>
    <w:p>
      <w:pPr>
        <w:spacing w:after="0" w:line="211" w:lineRule="exact"/>
        <w:rPr>
          <w:sz w:val="24"/>
          <w:szCs w:val="24"/>
          <w:color w:val="auto"/>
        </w:rPr>
      </w:pPr>
    </w:p>
    <w:p>
      <w:pPr>
        <w:ind w:right="80" w:firstLine="36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firstLine="360"/>
        <w:spacing w:after="0" w:line="220"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of 1933,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r>
        <w:rPr>
          <w:rFonts w:ascii="Arial" w:cs="Arial" w:eastAsia="Arial" w:hAnsi="Arial"/>
          <w:sz w:val="18"/>
          <w:szCs w:val="18"/>
          <w:color w:val="auto"/>
        </w:rPr>
        <w:t xml:space="preserve"> File No. 333-252666</w:t>
      </w:r>
    </w:p>
    <w:p>
      <w:pPr>
        <w:spacing w:after="0" w:line="204" w:lineRule="exact"/>
        <w:rPr>
          <w:sz w:val="24"/>
          <w:szCs w:val="24"/>
          <w:color w:val="auto"/>
        </w:rPr>
      </w:pPr>
    </w:p>
    <w:p>
      <w:pPr>
        <w:ind w:right="100" w:firstLine="3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80" w:firstLine="36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60"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pacing w:after="0" w:line="151" w:lineRule="exact"/>
        <w:rPr>
          <w:sz w:val="24"/>
          <w:szCs w:val="24"/>
          <w:color w:val="auto"/>
        </w:rPr>
      </w:pPr>
    </w:p>
    <w:p>
      <w:pPr>
        <w:ind w:left="100"/>
        <w:spacing w:after="0" w:line="207" w:lineRule="exact"/>
        <w:tabs>
          <w:tab w:leader="none" w:pos="2900" w:val="left"/>
          <w:tab w:leader="none" w:pos="5700" w:val="left"/>
          <w:tab w:leader="none" w:pos="8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44"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6" w:lineRule="exact"/>
        <w:rPr>
          <w:sz w:val="24"/>
          <w:szCs w:val="24"/>
          <w:color w:val="auto"/>
        </w:rPr>
      </w:pPr>
    </w:p>
    <w:p>
      <w:pPr>
        <w:jc w:val="both"/>
        <w:ind w:right="60" w:firstLine="3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not elected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CALCULATION OF REGISTRATION FEE</w:t>
      </w:r>
    </w:p>
    <w:p>
      <w:pPr>
        <w:sectPr>
          <w:pgSz w:w="11900" w:h="16838" w:orient="portrait"/>
          <w:cols w:equalWidth="0" w:num="1">
            <w:col w:w="11160"/>
          </w:cols>
          <w:pgMar w:left="320" w:top="445" w:right="41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36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Proposed Maximum</w:t>
            </w:r>
          </w:p>
        </w:tc>
        <w:tc>
          <w:tcPr>
            <w:tcW w:w="2000" w:type="dxa"/>
            <w:vAlign w:val="bottom"/>
          </w:tcPr>
          <w:p>
            <w:pPr>
              <w:jc w:val="center"/>
              <w:ind w:right="90"/>
              <w:spacing w:after="0"/>
              <w:rPr>
                <w:sz w:val="20"/>
                <w:szCs w:val="20"/>
                <w:color w:val="auto"/>
              </w:rPr>
            </w:pPr>
            <w:r>
              <w:rPr>
                <w:rFonts w:ascii="Arial" w:cs="Arial" w:eastAsia="Arial" w:hAnsi="Arial"/>
                <w:sz w:val="18"/>
                <w:szCs w:val="18"/>
                <w:color w:val="auto"/>
                <w:w w:val="91"/>
              </w:rPr>
              <w:t>Proposed Maximum</w:t>
            </w:r>
          </w:p>
        </w:tc>
        <w:tc>
          <w:tcPr>
            <w:tcW w:w="2040" w:type="dxa"/>
            <w:vAlign w:val="bottom"/>
          </w:tcPr>
          <w:p>
            <w:pPr>
              <w:spacing w:after="0"/>
              <w:rPr>
                <w:sz w:val="18"/>
                <w:szCs w:val="18"/>
                <w:color w:val="auto"/>
              </w:rPr>
            </w:pPr>
          </w:p>
        </w:tc>
      </w:tr>
      <w:tr>
        <w:trPr>
          <w:trHeight w:val="219"/>
        </w:trPr>
        <w:tc>
          <w:tcPr>
            <w:tcW w:w="3640" w:type="dxa"/>
            <w:vAlign w:val="bottom"/>
          </w:tcPr>
          <w:p>
            <w:pPr>
              <w:jc w:val="center"/>
              <w:spacing w:after="0"/>
              <w:rPr>
                <w:sz w:val="20"/>
                <w:szCs w:val="20"/>
                <w:color w:val="auto"/>
              </w:rPr>
            </w:pPr>
            <w:r>
              <w:rPr>
                <w:rFonts w:ascii="Arial" w:cs="Arial" w:eastAsia="Arial" w:hAnsi="Arial"/>
                <w:sz w:val="18"/>
                <w:szCs w:val="18"/>
                <w:color w:val="auto"/>
                <w:w w:val="90"/>
              </w:rPr>
              <w:t>Title of Each Class of Securities</w:t>
            </w:r>
          </w:p>
        </w:tc>
        <w:tc>
          <w:tcPr>
            <w:tcW w:w="1660" w:type="dxa"/>
            <w:vAlign w:val="bottom"/>
          </w:tcPr>
          <w:p>
            <w:pPr>
              <w:jc w:val="center"/>
              <w:ind w:left="130"/>
              <w:spacing w:after="0"/>
              <w:rPr>
                <w:sz w:val="20"/>
                <w:szCs w:val="20"/>
                <w:color w:val="auto"/>
              </w:rPr>
            </w:pPr>
            <w:r>
              <w:rPr>
                <w:rFonts w:ascii="Arial" w:cs="Arial" w:eastAsia="Arial" w:hAnsi="Arial"/>
                <w:sz w:val="18"/>
                <w:szCs w:val="18"/>
                <w:color w:val="auto"/>
                <w:w w:val="93"/>
              </w:rPr>
              <w:t>Amount to be</w:t>
            </w:r>
          </w:p>
        </w:tc>
        <w:tc>
          <w:tcPr>
            <w:tcW w:w="1900" w:type="dxa"/>
            <w:vAlign w:val="bottom"/>
          </w:tcPr>
          <w:p>
            <w:pPr>
              <w:jc w:val="center"/>
              <w:spacing w:after="0"/>
              <w:rPr>
                <w:sz w:val="20"/>
                <w:szCs w:val="20"/>
                <w:color w:val="auto"/>
              </w:rPr>
            </w:pPr>
            <w:r>
              <w:rPr>
                <w:rFonts w:ascii="Arial" w:cs="Arial" w:eastAsia="Arial" w:hAnsi="Arial"/>
                <w:sz w:val="18"/>
                <w:szCs w:val="18"/>
                <w:color w:val="auto"/>
                <w:w w:val="92"/>
              </w:rPr>
              <w:t>Offering Price per</w:t>
            </w:r>
          </w:p>
        </w:tc>
        <w:tc>
          <w:tcPr>
            <w:tcW w:w="2000" w:type="dxa"/>
            <w:vAlign w:val="bottom"/>
          </w:tcPr>
          <w:p>
            <w:pPr>
              <w:jc w:val="center"/>
              <w:ind w:right="90"/>
              <w:spacing w:after="0"/>
              <w:rPr>
                <w:sz w:val="20"/>
                <w:szCs w:val="20"/>
                <w:color w:val="auto"/>
              </w:rPr>
            </w:pPr>
            <w:r>
              <w:rPr>
                <w:rFonts w:ascii="Arial" w:cs="Arial" w:eastAsia="Arial" w:hAnsi="Arial"/>
                <w:sz w:val="18"/>
                <w:szCs w:val="18"/>
                <w:color w:val="auto"/>
                <w:w w:val="93"/>
              </w:rPr>
              <w:t>Aggregate Offering</w:t>
            </w:r>
          </w:p>
        </w:tc>
        <w:tc>
          <w:tcPr>
            <w:tcW w:w="2040" w:type="dxa"/>
            <w:vAlign w:val="bottom"/>
          </w:tcPr>
          <w:p>
            <w:pPr>
              <w:jc w:val="center"/>
              <w:spacing w:after="0"/>
              <w:rPr>
                <w:sz w:val="20"/>
                <w:szCs w:val="20"/>
                <w:color w:val="auto"/>
              </w:rPr>
            </w:pPr>
            <w:r>
              <w:rPr>
                <w:rFonts w:ascii="Arial" w:cs="Arial" w:eastAsia="Arial" w:hAnsi="Arial"/>
                <w:sz w:val="18"/>
                <w:szCs w:val="18"/>
                <w:color w:val="auto"/>
                <w:w w:val="95"/>
              </w:rPr>
              <w:t>Amount of</w:t>
            </w:r>
          </w:p>
        </w:tc>
      </w:tr>
      <w:tr>
        <w:trPr>
          <w:trHeight w:val="267"/>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to be Registered</w:t>
            </w:r>
          </w:p>
        </w:tc>
        <w:tc>
          <w:tcPr>
            <w:tcW w:w="1660" w:type="dxa"/>
            <w:vAlign w:val="bottom"/>
            <w:tcBorders>
              <w:bottom w:val="single" w:sz="8" w:color="auto"/>
            </w:tcBorders>
          </w:tcPr>
          <w:p>
            <w:pPr>
              <w:jc w:val="center"/>
              <w:ind w:left="110"/>
              <w:spacing w:after="0" w:line="267" w:lineRule="exact"/>
              <w:rPr>
                <w:sz w:val="20"/>
                <w:szCs w:val="20"/>
                <w:color w:val="auto"/>
              </w:rPr>
            </w:pPr>
            <w:r>
              <w:rPr>
                <w:rFonts w:ascii="Arial" w:cs="Arial" w:eastAsia="Arial" w:hAnsi="Arial"/>
                <w:sz w:val="18"/>
                <w:szCs w:val="18"/>
                <w:color w:val="auto"/>
                <w:w w:val="84"/>
              </w:rPr>
              <w:t>Registered</w:t>
            </w:r>
            <w:r>
              <w:rPr>
                <w:rFonts w:ascii="Arial" w:cs="Arial" w:eastAsia="Arial" w:hAnsi="Arial"/>
                <w:sz w:val="29"/>
                <w:szCs w:val="29"/>
                <w:color w:val="auto"/>
                <w:w w:val="84"/>
                <w:vertAlign w:val="superscript"/>
              </w:rPr>
              <w:t>(1)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Share</w:t>
            </w:r>
          </w:p>
        </w:tc>
        <w:tc>
          <w:tcPr>
            <w:tcW w:w="2000" w:type="dxa"/>
            <w:vAlign w:val="bottom"/>
            <w:tcBorders>
              <w:bottom w:val="single" w:sz="8" w:color="auto"/>
            </w:tcBorders>
          </w:tcPr>
          <w:p>
            <w:pPr>
              <w:jc w:val="center"/>
              <w:ind w:right="90"/>
              <w:spacing w:after="0" w:line="267" w:lineRule="exact"/>
              <w:rPr>
                <w:sz w:val="20"/>
                <w:szCs w:val="20"/>
                <w:color w:val="auto"/>
              </w:rPr>
            </w:pPr>
            <w:r>
              <w:rPr>
                <w:rFonts w:ascii="Arial" w:cs="Arial" w:eastAsia="Arial" w:hAnsi="Arial"/>
                <w:sz w:val="18"/>
                <w:szCs w:val="18"/>
                <w:color w:val="auto"/>
                <w:w w:val="83"/>
              </w:rPr>
              <w:t>Price</w:t>
            </w:r>
            <w:r>
              <w:rPr>
                <w:rFonts w:ascii="Arial" w:cs="Arial" w:eastAsia="Arial" w:hAnsi="Arial"/>
                <w:sz w:val="29"/>
                <w:szCs w:val="29"/>
                <w:color w:val="auto"/>
                <w:w w:val="83"/>
                <w:vertAlign w:val="superscript"/>
              </w:rPr>
              <w:t>(1)</w:t>
            </w:r>
          </w:p>
        </w:tc>
        <w:tc>
          <w:tcPr>
            <w:tcW w:w="2040" w:type="dxa"/>
            <w:vAlign w:val="bottom"/>
            <w:tcBorders>
              <w:bottom w:val="single" w:sz="8" w:color="auto"/>
            </w:tcBorders>
          </w:tcPr>
          <w:p>
            <w:pPr>
              <w:jc w:val="center"/>
              <w:spacing w:after="0" w:line="267" w:lineRule="exact"/>
              <w:rPr>
                <w:sz w:val="20"/>
                <w:szCs w:val="20"/>
                <w:color w:val="auto"/>
              </w:rPr>
            </w:pPr>
            <w:r>
              <w:rPr>
                <w:rFonts w:ascii="Arial" w:cs="Arial" w:eastAsia="Arial" w:hAnsi="Arial"/>
                <w:sz w:val="18"/>
                <w:szCs w:val="18"/>
                <w:color w:val="auto"/>
                <w:w w:val="87"/>
              </w:rPr>
              <w:t>Registration Fee</w:t>
            </w:r>
            <w:r>
              <w:rPr>
                <w:rFonts w:ascii="Arial" w:cs="Arial" w:eastAsia="Arial" w:hAnsi="Arial"/>
                <w:sz w:val="29"/>
                <w:szCs w:val="29"/>
                <w:color w:val="auto"/>
                <w:w w:val="87"/>
                <w:vertAlign w:val="superscript"/>
              </w:rPr>
              <w:t>(2)</w:t>
            </w:r>
          </w:p>
        </w:tc>
      </w:tr>
      <w:tr>
        <w:trPr>
          <w:trHeight w:val="237"/>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$0.0001 per share</w:t>
            </w:r>
          </w:p>
        </w:tc>
        <w:tc>
          <w:tcPr>
            <w:tcW w:w="16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89"/>
              </w:rPr>
              <w:t>5,217,421</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$27.00</w:t>
            </w:r>
          </w:p>
        </w:tc>
        <w:tc>
          <w:tcPr>
            <w:tcW w:w="20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$140,870,367.00</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$15,368.96</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40" w:firstLine="8"/>
        <w:spacing w:after="0" w:line="255" w:lineRule="auto"/>
        <w:tabs>
          <w:tab w:leader="none" w:pos="525"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shares of common stock being registered, and includes 680,533 additional shares of common stock that the underwriters have the option to purchase. Does not include the securities that the registrant previously registered on the Registration Statement on Form S-1 (File No. 333-252666).</w:t>
      </w:r>
    </w:p>
    <w:p>
      <w:pPr>
        <w:spacing w:after="0" w:line="2" w:lineRule="exact"/>
        <w:rPr>
          <w:rFonts w:ascii="Arial" w:cs="Arial" w:eastAsia="Arial" w:hAnsi="Arial"/>
          <w:sz w:val="18"/>
          <w:szCs w:val="18"/>
          <w:color w:val="auto"/>
        </w:rPr>
      </w:pPr>
    </w:p>
    <w:p>
      <w:pPr>
        <w:ind w:right="20" w:firstLine="8"/>
        <w:spacing w:after="0" w:line="253" w:lineRule="auto"/>
        <w:tabs>
          <w:tab w:leader="none" w:pos="47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registration fee is calculated in accordance with Rule 457(a) under the Securities Act of 1933, as amended, based on the proposed maximum aggregate offering price. The registrant previously paid a filing fee of $76,844.80 for the Registration Statement on Form S-1 (File No. 333-252666), which was declared effective on February 4, 2021. In accordance with Rule 462(b) under the Securities Act of 1933, as amended, an additional amount of securities having a proposed maximum aggregate offering price of $140,870,367.00 are hereby registered, which includes the additional shares that the underwriters have the option to purchase.</w:t>
      </w:r>
    </w:p>
    <w:p>
      <w:pPr>
        <w:spacing w:after="0" w:line="18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pacing w:after="0" w:line="229"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Opendoor Technologies Inc., a Delaware corporation (the “Registrant”), is filing this Registration Statement with the Securities and Exchange Commission (the “Commission”) pursuant to Rule 462(b) under the Securities Act of 1933, as amended (the “Securities Act”), with respect to the registration of additional shares of common stock, par value $0.0001 per share of Registrant. This Registration Statement relates to the public offering of securities contemplated by the earlier registration statement on </w:t>
      </w:r>
      <w:hyperlink r:id="rId14">
        <w:r>
          <w:rPr>
            <w:rFonts w:ascii="Arial" w:cs="Arial" w:eastAsia="Arial" w:hAnsi="Arial"/>
            <w:sz w:val="18"/>
            <w:szCs w:val="18"/>
            <w:u w:val="single" w:color="auto"/>
            <w:color w:val="0000EE"/>
          </w:rPr>
          <w:t>Form S-1, as amended (File No. 333-252666)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(the “Prior Registration Statement”), which the Commission declared effective on February 4, 2021. The contents of the Prior Registration Statement, including all amendments and exhibits thereto, are incorporated by reference into this Registration Statement.</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Registrant is filing this Registration Statement for the sole purpose of increasing the aggregate number of shares of common stock offered by Registrant by 5,217,421 shares of its common stock, which includes 680,533 shares of common stock that may be sold pursuant to the underwriters’ option to purchase additional shares. The additional shares of common stock that are being registered for issuance and sale are in an amount and at a price that together represent no more than 20% of the maximum aggregate offering price set forth in the Calculation of Registration Fee table contained in the Prior Registration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required opinion and consents are listed on the Exhibit Index attached hereto and filed herewith.</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ind w:right="80"/>
        <w:spacing w:after="0" w:line="342" w:lineRule="auto"/>
        <w:rPr>
          <w:rFonts w:ascii="Arial" w:cs="Arial" w:eastAsia="Arial" w:hAnsi="Arial"/>
          <w:sz w:val="16"/>
          <w:szCs w:val="16"/>
          <w:color w:val="auto"/>
        </w:rPr>
      </w:pPr>
      <w:r>
        <w:rPr>
          <w:rFonts w:ascii="Arial" w:cs="Arial" w:eastAsia="Arial" w:hAnsi="Arial"/>
          <w:sz w:val="16"/>
          <w:szCs w:val="16"/>
          <w:color w:val="auto"/>
        </w:rPr>
        <w:t xml:space="preserve">The following documents are filed as exhibits to this Registration Statement, and all other exhibits previously filed as exhibits to the Registrant's Registration Statement on </w:t>
      </w:r>
      <w:hyperlink r:id="rId14">
        <w:r>
          <w:rPr>
            <w:rFonts w:ascii="Arial" w:cs="Arial" w:eastAsia="Arial" w:hAnsi="Arial"/>
            <w:sz w:val="16"/>
            <w:szCs w:val="16"/>
            <w:u w:val="single" w:color="auto"/>
            <w:color w:val="0000EE"/>
          </w:rPr>
          <w:t>Form S-1, as amended (File No. 333-252666)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incorporated by reference into, and shall be deemed to be a part of, this filing.</w:t>
      </w:r>
    </w:p>
    <w:p>
      <w:pPr>
        <w:sectPr>
          <w:pgSz w:w="11900" w:h="16838" w:orient="portrait"/>
          <w:cols w:equalWidth="0" w:num="1">
            <w:col w:w="11200"/>
          </w:cols>
          <w:pgMar w:left="320" w:top="90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0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1" w:lineRule="exact"/>
        <w:rPr>
          <w:sz w:val="20"/>
          <w:szCs w:val="20"/>
          <w:color w:val="auto"/>
        </w:rPr>
      </w:pPr>
    </w:p>
    <w:p>
      <w:pPr>
        <w:ind w:left="42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5.1*</w:t>
        </w:r>
      </w:hyperlink>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INDEX TO EXHIBITS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34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138" w:lineRule="exact"/>
        <w:rPr>
          <w:sz w:val="20"/>
          <w:szCs w:val="20"/>
          <w:color w:val="auto"/>
        </w:rPr>
      </w:pPr>
    </w:p>
    <w:p>
      <w:pPr>
        <w:ind w:right="220"/>
        <w:spacing w:after="0" w:line="277" w:lineRule="auto"/>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Opinion of Latham &amp; Watkins LLP (incorporated by reference to Exhibit 5.1 filed with the Prior Registration Statement on February 2,</w:t>
        </w:r>
      </w:hyperlink>
      <w:r>
        <w:rPr>
          <w:rFonts w:ascii="Arial" w:cs="Arial" w:eastAsia="Arial" w:hAnsi="Arial"/>
          <w:sz w:val="18"/>
          <w:szCs w:val="18"/>
          <w:u w:val="single" w:color="auto"/>
          <w:color w:val="0000EE"/>
        </w:rPr>
        <w:t xml:space="preserve"> </w:t>
      </w:r>
      <w:hyperlink r:id="rId16">
        <w:r>
          <w:rPr>
            <w:rFonts w:ascii="Arial" w:cs="Arial" w:eastAsia="Arial" w:hAnsi="Arial"/>
            <w:sz w:val="18"/>
            <w:szCs w:val="18"/>
            <w:u w:val="single" w:color="auto"/>
            <w:color w:val="0000EE"/>
          </w:rPr>
          <w:t>2021).</w:t>
        </w:r>
      </w:hyperlink>
    </w:p>
    <w:p>
      <w:pPr>
        <w:spacing w:after="0" w:line="89" w:lineRule="exact"/>
        <w:rPr>
          <w:sz w:val="20"/>
          <w:szCs w:val="20"/>
          <w:color w:val="auto"/>
        </w:rPr>
      </w:pPr>
    </w:p>
    <w:p>
      <w:pPr>
        <w:sectPr>
          <w:pgSz w:w="11900" w:h="16838" w:orient="portrait"/>
          <w:cols w:equalWidth="0" w:num="2">
            <w:col w:w="940" w:space="320"/>
            <w:col w:w="9940"/>
          </w:cols>
          <w:pgMar w:left="320" w:top="904" w:right="379" w:bottom="1440" w:gutter="0" w:footer="0" w:header="0"/>
          <w:type w:val="continuous"/>
        </w:sectPr>
      </w:pPr>
    </w:p>
    <w:p>
      <w:pPr>
        <w:ind w:left="420"/>
        <w:spacing w:after="0"/>
        <w:tabs>
          <w:tab w:leader="none" w:pos="12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23.1</w:t>
        </w:r>
      </w:hyperlink>
      <w:r>
        <w:rPr>
          <w:rFonts w:ascii="Arial" w:cs="Arial" w:eastAsia="Arial" w:hAnsi="Arial"/>
          <w:sz w:val="18"/>
          <w:szCs w:val="18"/>
          <w:color w:val="0000EE"/>
        </w:rPr>
        <w:tab/>
      </w:r>
      <w:hyperlink w:anchor="page5">
        <w:r>
          <w:rPr>
            <w:rFonts w:ascii="Arial" w:cs="Arial" w:eastAsia="Arial" w:hAnsi="Arial"/>
            <w:sz w:val="16"/>
            <w:szCs w:val="16"/>
            <w:u w:val="single" w:color="auto"/>
            <w:color w:val="0000EE"/>
          </w:rPr>
          <w:t>Consent of Marcum LLP</w:t>
        </w:r>
        <w:r>
          <w:rPr>
            <w:rFonts w:ascii="Arial" w:cs="Arial" w:eastAsia="Arial" w:hAnsi="Arial"/>
            <w:sz w:val="16"/>
            <w:szCs w:val="16"/>
            <w:color w:val="0000EE"/>
          </w:rPr>
          <w:t>.</w:t>
        </w:r>
      </w:hyperlink>
    </w:p>
    <w:p>
      <w:pPr>
        <w:spacing w:after="0" w:line="144" w:lineRule="exact"/>
        <w:rPr>
          <w:sz w:val="20"/>
          <w:szCs w:val="20"/>
          <w:color w:val="auto"/>
        </w:rPr>
      </w:pPr>
    </w:p>
    <w:p>
      <w:pPr>
        <w:ind w:left="420"/>
        <w:spacing w:after="0"/>
        <w:tabs>
          <w:tab w:leader="none" w:pos="1240" w:val="left"/>
        </w:tabs>
        <w:rPr>
          <w:rFonts w:ascii="Arial" w:cs="Arial" w:eastAsia="Arial" w:hAnsi="Arial"/>
          <w:sz w:val="16"/>
          <w:szCs w:val="16"/>
          <w:u w:val="single" w:color="auto"/>
          <w:color w:val="0000EE"/>
        </w:rPr>
      </w:pPr>
      <w:hyperlink w:anchor="page6">
        <w:r>
          <w:rPr>
            <w:rFonts w:ascii="Arial" w:cs="Arial" w:eastAsia="Arial" w:hAnsi="Arial"/>
            <w:sz w:val="18"/>
            <w:szCs w:val="18"/>
            <w:u w:val="single" w:color="auto"/>
            <w:color w:val="0000EE"/>
          </w:rPr>
          <w:t>23.2</w:t>
        </w:r>
      </w:hyperlink>
      <w:r>
        <w:rPr>
          <w:rFonts w:ascii="Arial" w:cs="Arial" w:eastAsia="Arial" w:hAnsi="Arial"/>
          <w:sz w:val="18"/>
          <w:szCs w:val="18"/>
          <w:u w:val="single" w:color="auto"/>
          <w:color w:val="0000EE"/>
        </w:rPr>
        <w:tab/>
      </w:r>
      <w:hyperlink w:anchor="page6">
        <w:r>
          <w:rPr>
            <w:rFonts w:ascii="Arial" w:cs="Arial" w:eastAsia="Arial" w:hAnsi="Arial"/>
            <w:sz w:val="16"/>
            <w:szCs w:val="16"/>
            <w:u w:val="single" w:color="auto"/>
            <w:color w:val="0000EE"/>
          </w:rPr>
          <w:t>Consent of Deloitte &amp; Touche LLP.</w:t>
        </w:r>
      </w:hyperlink>
    </w:p>
    <w:p>
      <w:pPr>
        <w:spacing w:after="0" w:line="144" w:lineRule="exact"/>
        <w:rPr>
          <w:sz w:val="20"/>
          <w:szCs w:val="20"/>
          <w:color w:val="auto"/>
        </w:rPr>
      </w:pPr>
    </w:p>
    <w:p>
      <w:pPr>
        <w:ind w:left="380"/>
        <w:spacing w:after="0"/>
        <w:tabs>
          <w:tab w:leader="none" w:pos="1240" w:val="left"/>
        </w:tabs>
        <w:rPr>
          <w:rFonts w:ascii="Arial" w:cs="Arial" w:eastAsia="Arial" w:hAnsi="Arial"/>
          <w:sz w:val="16"/>
          <w:szCs w:val="16"/>
          <w:u w:val="single" w:color="auto"/>
          <w:color w:val="0000EE"/>
        </w:rPr>
      </w:pPr>
      <w:hyperlink r:id="rId16">
        <w:r>
          <w:rPr>
            <w:rFonts w:ascii="Arial" w:cs="Arial" w:eastAsia="Arial" w:hAnsi="Arial"/>
            <w:sz w:val="18"/>
            <w:szCs w:val="18"/>
            <w:u w:val="single" w:color="auto"/>
            <w:color w:val="0000EE"/>
          </w:rPr>
          <w:t>23.3*</w:t>
        </w:r>
      </w:hyperlink>
      <w:r>
        <w:rPr>
          <w:rFonts w:ascii="Arial" w:cs="Arial" w:eastAsia="Arial" w:hAnsi="Arial"/>
          <w:sz w:val="18"/>
          <w:szCs w:val="18"/>
          <w:u w:val="single" w:color="auto"/>
          <w:color w:val="0000EE"/>
        </w:rPr>
        <w:tab/>
      </w:r>
      <w:hyperlink r:id="rId16">
        <w:r>
          <w:rPr>
            <w:rFonts w:ascii="Arial" w:cs="Arial" w:eastAsia="Arial" w:hAnsi="Arial"/>
            <w:sz w:val="16"/>
            <w:szCs w:val="16"/>
            <w:u w:val="single" w:color="auto"/>
            <w:color w:val="0000EE"/>
          </w:rPr>
          <w:t>Consent of Latham &amp; Watkins LLP (included in Exhibit 5.1).</w:t>
        </w:r>
      </w:hyperlink>
    </w:p>
    <w:p>
      <w:pPr>
        <w:spacing w:after="0" w:line="144" w:lineRule="exact"/>
        <w:rPr>
          <w:sz w:val="20"/>
          <w:szCs w:val="20"/>
          <w:color w:val="auto"/>
        </w:rPr>
      </w:pPr>
    </w:p>
    <w:p>
      <w:pPr>
        <w:ind w:left="380"/>
        <w:spacing w:after="0"/>
        <w:tabs>
          <w:tab w:leader="none" w:pos="1240" w:val="left"/>
        </w:tabs>
        <w:rPr>
          <w:rFonts w:ascii="Arial" w:cs="Arial" w:eastAsia="Arial" w:hAnsi="Arial"/>
          <w:sz w:val="16"/>
          <w:szCs w:val="16"/>
          <w:u w:val="single" w:color="auto"/>
          <w:color w:val="0000EE"/>
        </w:rPr>
      </w:pPr>
      <w:hyperlink r:id="rId14">
        <w:r>
          <w:rPr>
            <w:rFonts w:ascii="Arial" w:cs="Arial" w:eastAsia="Arial" w:hAnsi="Arial"/>
            <w:sz w:val="18"/>
            <w:szCs w:val="18"/>
            <w:u w:val="single" w:color="auto"/>
            <w:color w:val="0000EE"/>
          </w:rPr>
          <w:t>24.1*</w:t>
        </w:r>
      </w:hyperlink>
      <w:r>
        <w:rPr>
          <w:rFonts w:ascii="Arial" w:cs="Arial" w:eastAsia="Arial" w:hAnsi="Arial"/>
          <w:sz w:val="18"/>
          <w:szCs w:val="18"/>
          <w:u w:val="single" w:color="auto"/>
          <w:color w:val="0000EE"/>
        </w:rPr>
        <w:tab/>
      </w:r>
      <w:hyperlink r:id="rId14">
        <w:r>
          <w:rPr>
            <w:rFonts w:ascii="Arial" w:cs="Arial" w:eastAsia="Arial" w:hAnsi="Arial"/>
            <w:sz w:val="16"/>
            <w:szCs w:val="16"/>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40" w:right="2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with the Registrant's Registration Statement on Form S-1, as amended (File No. 333-252666), initially filed with the Securities and Exchange Commission February 2, 2021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Tempe, State of Arizona, on February 4, 2021.</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Opendoor Technologies Inc.</w:t>
      </w:r>
    </w:p>
    <w:p>
      <w:pPr>
        <w:spacing w:after="0" w:line="22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Carrie Wheeler</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7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3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Eric Wu</w:t>
      </w:r>
    </w:p>
    <w:p>
      <w:pPr>
        <w:spacing w:after="0" w:line="332" w:lineRule="exact"/>
        <w:rPr>
          <w:sz w:val="20"/>
          <w:szCs w:val="20"/>
          <w:color w:val="auto"/>
        </w:rPr>
      </w:pPr>
    </w:p>
    <w:p>
      <w:pPr>
        <w:jc w:val="right"/>
        <w:ind w:right="420"/>
        <w:spacing w:after="0"/>
        <w:rPr>
          <w:sz w:val="20"/>
          <w:szCs w:val="20"/>
          <w:color w:val="auto"/>
        </w:rPr>
      </w:pPr>
      <w:r>
        <w:rPr>
          <w:rFonts w:ascii="Arial" w:cs="Arial" w:eastAsia="Arial" w:hAnsi="Arial"/>
          <w:sz w:val="18"/>
          <w:szCs w:val="18"/>
          <w:color w:val="auto"/>
        </w:rPr>
        <w:t>/s/ Carrie Wheeler</w:t>
      </w:r>
    </w:p>
    <w:p>
      <w:pPr>
        <w:spacing w:after="0" w:line="13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928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17"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Adam Bain</w:t>
      </w:r>
    </w:p>
    <w:p>
      <w:pPr>
        <w:spacing w:after="0" w:line="2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Cipora Herman</w:t>
      </w:r>
    </w:p>
    <w:p>
      <w:pPr>
        <w:spacing w:after="0" w:line="23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Jonathan Jaffe</w:t>
      </w:r>
    </w:p>
    <w:p>
      <w:pPr>
        <w:spacing w:after="0" w:line="22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Pueo Keffer</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Jason Kilar</w:t>
      </w:r>
    </w:p>
    <w:p>
      <w:pPr>
        <w:spacing w:after="0" w:line="224"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8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Glenn Solomon</w:t>
      </w:r>
    </w:p>
    <w:p>
      <w:pPr>
        <w:spacing w:after="0" w:line="200" w:lineRule="exact"/>
        <w:rPr>
          <w:sz w:val="20"/>
          <w:szCs w:val="20"/>
          <w:color w:val="auto"/>
        </w:rPr>
      </w:pPr>
    </w:p>
    <w:p>
      <w:pPr>
        <w:spacing w:after="0" w:line="252" w:lineRule="exact"/>
        <w:rPr>
          <w:sz w:val="20"/>
          <w:szCs w:val="20"/>
          <w:color w:val="auto"/>
        </w:rPr>
      </w:pPr>
    </w:p>
    <w:p>
      <w:pPr>
        <w:ind w:left="460" w:right="780" w:hanging="452"/>
        <w:spacing w:after="0" w:line="320" w:lineRule="auto"/>
        <w:tabs>
          <w:tab w:leader="none" w:pos="136"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By: /s/ Carrie Wheeler Carrie Wheeler </w:t>
      </w:r>
      <w:r>
        <w:rPr>
          <w:rFonts w:ascii="Arial" w:cs="Arial" w:eastAsia="Arial" w:hAnsi="Arial"/>
          <w:sz w:val="16"/>
          <w:szCs w:val="16"/>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-320675</wp:posOffset>
            </wp:positionV>
            <wp:extent cx="24942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425"/>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Chairman, Director and Chief Executive Officer</w:t>
            </w:r>
          </w:p>
        </w:tc>
        <w:tc>
          <w:tcPr>
            <w:tcW w:w="2480" w:type="dxa"/>
            <w:vAlign w:val="bottom"/>
          </w:tcPr>
          <w:p>
            <w:pPr>
              <w:spacing w:after="0"/>
              <w:rPr>
                <w:sz w:val="24"/>
                <w:szCs w:val="24"/>
                <w:color w:val="auto"/>
              </w:rPr>
            </w:pPr>
          </w:p>
        </w:tc>
      </w:tr>
      <w:tr>
        <w:trPr>
          <w:trHeight w:val="244"/>
        </w:trPr>
        <w:tc>
          <w:tcPr>
            <w:tcW w:w="54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(Principal Executive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418"/>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480" w:type="dxa"/>
            <w:vAlign w:val="bottom"/>
          </w:tcPr>
          <w:p>
            <w:pPr>
              <w:spacing w:after="0"/>
              <w:rPr>
                <w:sz w:val="24"/>
                <w:szCs w:val="24"/>
                <w:color w:val="auto"/>
              </w:rPr>
            </w:pPr>
          </w:p>
        </w:tc>
      </w:tr>
      <w:tr>
        <w:trPr>
          <w:trHeight w:val="216"/>
        </w:trPr>
        <w:tc>
          <w:tcPr>
            <w:tcW w:w="54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Officer and Principal</w:t>
            </w:r>
          </w:p>
        </w:tc>
        <w:tc>
          <w:tcPr>
            <w:tcW w:w="2480" w:type="dxa"/>
            <w:vAlign w:val="bottom"/>
          </w:tcPr>
          <w:p>
            <w:pPr>
              <w:spacing w:after="0"/>
              <w:rPr>
                <w:sz w:val="18"/>
                <w:szCs w:val="18"/>
                <w:color w:val="auto"/>
              </w:rPr>
            </w:pPr>
          </w:p>
        </w:tc>
      </w:tr>
      <w:tr>
        <w:trPr>
          <w:trHeight w:val="244"/>
        </w:trPr>
        <w:tc>
          <w:tcPr>
            <w:tcW w:w="54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Accounting Officer)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662"/>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661"/>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661"/>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662"/>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661"/>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r>
        <w:trPr>
          <w:trHeight w:val="662"/>
        </w:trPr>
        <w:tc>
          <w:tcPr>
            <w:tcW w:w="54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jc w:val="center"/>
              <w:spacing w:after="0"/>
              <w:rPr>
                <w:sz w:val="20"/>
                <w:szCs w:val="20"/>
                <w:color w:val="auto"/>
              </w:rPr>
            </w:pPr>
            <w:r>
              <w:rPr>
                <w:rFonts w:ascii="Arial" w:cs="Arial" w:eastAsia="Arial" w:hAnsi="Arial"/>
                <w:sz w:val="18"/>
                <w:szCs w:val="18"/>
                <w:color w:val="auto"/>
                <w:w w:val="90"/>
              </w:rPr>
              <w:t>February 4,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1122680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560" w:space="720"/>
            <w:col w:w="7960"/>
          </w:cols>
          <w:pgMar w:left="320" w:top="904" w:right="33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consent to the inclusion in this Registration Statement of Opendoor Technologies Inc. (f/k/a Social Capital Hedosophia Holdings Corp. II) on Form S-1 pursuant to Rule 462(b) under the Securities Act of 1933, as amended, of our report dated January 31, 2020, except for Note 8 as to which the date is April 29, 2020, which includes an explanatory paragraph as to the Company’s ability to continue as a going concern</w:t>
      </w:r>
      <w:r>
        <w:rPr>
          <w:rFonts w:ascii="Arial" w:cs="Arial" w:eastAsia="Arial" w:hAnsi="Arial"/>
          <w:sz w:val="17"/>
          <w:szCs w:val="17"/>
          <w:b w:val="1"/>
          <w:bCs w:val="1"/>
          <w:color w:val="auto"/>
        </w:rPr>
        <w:t>,</w:t>
      </w:r>
      <w:r>
        <w:rPr>
          <w:rFonts w:ascii="Arial" w:cs="Arial" w:eastAsia="Arial" w:hAnsi="Arial"/>
          <w:sz w:val="17"/>
          <w:szCs w:val="17"/>
          <w:color w:val="auto"/>
        </w:rPr>
        <w:t xml:space="preserve"> with respect to our audit of the financial statements of Opendoor Technologies Inc. (f/k/a Social Capital Hedosophia Holdings Corp. II) as of December 31, 2019 and for the period from October 18, 2019 (inception) through December 31, 2019, appearing in the Registration Statement on Form S-1, as amended (File No. 333-252666), of Opendoor Technologies Inc. We were dismissed as auditors on December 18, 2020 and, accordingly, we have not performed any audit or review procedures with respect to any financial statements appearing in such Prospectus for the periods after the date of our dismissal. We also consent to the reference to our Firm under the heading “Experts” in such Prospectus.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23.2</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consent to the incorporation by reference in this Registration Statement on Form S-1MEF of our report dated October 2, 2020, relating to the financial statements of Opendoor Labs, Inc. appearing in the Registration Statement on Form S-1 (No. 333-252666).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heading “Experts” in such Registration Statement.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14" Type="http://schemas.openxmlformats.org/officeDocument/2006/relationships/hyperlink" Target="https://www.sec.gov/Archives/edgar/data/1801169/000110465921010915/tm211852-4_s1.htm" TargetMode="External"/><Relationship Id="rId16" Type="http://schemas.openxmlformats.org/officeDocument/2006/relationships/hyperlink" Target="https://www.sec.gov/Archives/edgar/data/1801169/000110465921010915/tm211852d7_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2021-02-04T19:21:01Z</dcterms:created>
  <dcterms:modified xsi:type="dcterms:W3CDTF">2021-02-04T19:21:01Z</dcterms:modified>
</cp:coreProperties>
</file>