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221756.xml.htm"/>
      <w:bookmarkStart w:id="1" w:name="kswkform4_17792217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Schwartz Christina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1295 WEST WASHINGTON STREET, SUITE 115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Opendoor Technologies Inc.</w:t>
              </w:r>
            </w:hyperlink>
            <w:r>
              <w:rPr/>
              <w:t xml:space="preserve"> [ </w:t>
            </w:r>
            <w:r>
              <w:rPr>
                <w:rFonts w:ascii="Times;serif" w:hAnsi="Times;serif"/>
                <w:color w:val="0000FF"/>
                <w:sz w:val="24"/>
                <w:shd w:fill="FFFFFF" w:val="clear"/>
              </w:rPr>
              <w:t>OPEN</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74,348</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4.3322</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3,769,866</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effected pursuant to a Rule 10b5-1 "sell to cover" election made by the Reporting Person for the sole purpose to satisfy the Reporting Person's tax withholding obligation upon the settlement of previously granted restricted stock awards. This sale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$4.28 to $4.40,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/s/Christina Schwartz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57238" TargetMode="External"/><Relationship Id="rId5" Type="http://schemas.openxmlformats.org/officeDocument/2006/relationships/hyperlink" Target="http://www.sec.gov/cgi-bin/browse-edgar?action=getcompany&amp;CIK=0001801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683</Words>
  <Characters>3726</Characters>
  <CharactersWithSpaces>4349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