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Social Capital Hedosophia Holdings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G8250T109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September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G8250T109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4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4,100,000</w:t>
      </w:r>
    </w:p>
    <w:p>
      <w:pPr>
        <w:spacing w:after="0" w:line="1" w:lineRule="exact"/>
        <w:rPr>
          <w:rFonts w:ascii="Times New Roman" w:cs="Times New Roman" w:eastAsia="Times New Roman" w:hAnsi="Times New Roman"/>
          <w:sz w:val="18"/>
          <w:szCs w:val="18"/>
          <w:color w:val="auto"/>
        </w:rPr>
      </w:pPr>
    </w:p>
    <w:p>
      <w:pPr>
        <w:ind w:left="1140" w:right="722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4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4,100,000</w:t>
      </w:r>
    </w:p>
    <w:p>
      <w:pPr>
        <w:spacing w:after="0" w:line="1" w:lineRule="exact"/>
        <w:rPr>
          <w:rFonts w:ascii="Times New Roman" w:cs="Times New Roman" w:eastAsia="Times New Roman" w:hAnsi="Times New Roman"/>
          <w:sz w:val="18"/>
          <w:szCs w:val="18"/>
          <w:color w:val="auto"/>
        </w:rPr>
      </w:pPr>
    </w:p>
    <w:p>
      <w:pPr>
        <w:ind w:left="1140" w:right="292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4,100,000</w:t>
      </w:r>
    </w:p>
    <w:p>
      <w:pPr>
        <w:spacing w:after="0" w:line="1"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225" w:lineRule="exact"/>
        <w:rPr>
          <w:rFonts w:ascii="Times New Roman" w:cs="Times New Roman" w:eastAsia="Times New Roman" w:hAnsi="Times New Roman"/>
          <w:sz w:val="18"/>
          <w:szCs w:val="18"/>
          <w:color w:val="auto"/>
        </w:rPr>
      </w:pPr>
    </w:p>
    <w:p>
      <w:pPr>
        <w:ind w:left="1140" w:right="4420" w:hanging="1132"/>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p>
    <w:p>
      <w:pPr>
        <w:spacing w:after="0" w:line="1" w:lineRule="exact"/>
        <w:rPr>
          <w:rFonts w:ascii="Times New Roman" w:cs="Times New Roman" w:eastAsia="Times New Roman" w:hAnsi="Times New Roman"/>
          <w:sz w:val="18"/>
          <w:szCs w:val="18"/>
          <w:color w:val="auto"/>
        </w:rPr>
      </w:pPr>
    </w:p>
    <w:p>
      <w:pPr>
        <w:ind w:left="1140" w:right="5140" w:hanging="1132"/>
        <w:spacing w:after="0" w:line="53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0" w:right="95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G8250T109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1062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19" w:lineRule="exact"/>
        <w:rPr>
          <w:sz w:val="20"/>
          <w:szCs w:val="20"/>
          <w:color w:val="auto"/>
        </w:rPr>
      </w:pP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45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Master Fund, Ltd.</w:t>
      </w:r>
    </w:p>
    <w:p>
      <w:pPr>
        <w:ind w:left="1140" w:hanging="1132"/>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[_]</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2"/>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right="6420" w:hanging="1132"/>
        <w:spacing w:after="0" w:line="53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1140" w:right="8240" w:hanging="1132"/>
        <w:spacing w:after="0" w:line="50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960" w:hanging="1132"/>
        <w:spacing w:after="0" w:line="50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4,047,240</w:t>
      </w:r>
    </w:p>
    <w:p>
      <w:pPr>
        <w:spacing w:after="0" w:line="1" w:lineRule="exact"/>
        <w:rPr>
          <w:rFonts w:ascii="Times New Roman" w:cs="Times New Roman" w:eastAsia="Times New Roman" w:hAnsi="Times New Roman"/>
          <w:sz w:val="18"/>
          <w:szCs w:val="18"/>
          <w:color w:val="auto"/>
        </w:rPr>
      </w:pPr>
    </w:p>
    <w:p>
      <w:pPr>
        <w:ind w:left="1140" w:right="7840" w:hanging="1132"/>
        <w:spacing w:after="0" w:line="50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7560" w:hanging="1132"/>
        <w:spacing w:after="0" w:line="50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4,047,240</w:t>
      </w:r>
    </w:p>
    <w:p>
      <w:pPr>
        <w:spacing w:after="0" w:line="1" w:lineRule="exact"/>
        <w:rPr>
          <w:rFonts w:ascii="Times New Roman" w:cs="Times New Roman" w:eastAsia="Times New Roman" w:hAnsi="Times New Roman"/>
          <w:sz w:val="18"/>
          <w:szCs w:val="18"/>
          <w:color w:val="auto"/>
        </w:rPr>
      </w:pPr>
    </w:p>
    <w:p>
      <w:pPr>
        <w:ind w:left="1140" w:right="3540" w:hanging="1132"/>
        <w:spacing w:after="0" w:line="50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4,047,240</w:t>
      </w:r>
    </w:p>
    <w:p>
      <w:pPr>
        <w:spacing w:after="0" w:line="1"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5040" w:hanging="1132"/>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9.8%</w:t>
      </w:r>
    </w:p>
    <w:p>
      <w:pPr>
        <w:spacing w:after="0" w:line="1" w:lineRule="exact"/>
        <w:rPr>
          <w:rFonts w:ascii="Times New Roman" w:cs="Times New Roman" w:eastAsia="Times New Roman" w:hAnsi="Times New Roman"/>
          <w:sz w:val="18"/>
          <w:szCs w:val="18"/>
          <w:color w:val="auto"/>
        </w:rPr>
      </w:pPr>
    </w:p>
    <w:p>
      <w:pPr>
        <w:ind w:left="1140" w:right="5760" w:hanging="1132"/>
        <w:spacing w:after="0" w:line="53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G8250T109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10712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19" w:lineRule="exact"/>
        <w:rPr>
          <w:sz w:val="20"/>
          <w:szCs w:val="20"/>
          <w:color w:val="auto"/>
        </w:rPr>
      </w:pP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140" w:right="390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right="762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4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4,100,000</w:t>
      </w:r>
    </w:p>
    <w:p>
      <w:pPr>
        <w:spacing w:after="0" w:line="1" w:lineRule="exact"/>
        <w:rPr>
          <w:rFonts w:ascii="Times New Roman" w:cs="Times New Roman" w:eastAsia="Times New Roman" w:hAnsi="Times New Roman"/>
          <w:sz w:val="18"/>
          <w:szCs w:val="18"/>
          <w:color w:val="auto"/>
        </w:rPr>
      </w:pPr>
    </w:p>
    <w:p>
      <w:pPr>
        <w:ind w:left="1140" w:right="722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4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4,100,000</w:t>
      </w:r>
    </w:p>
    <w:p>
      <w:pPr>
        <w:spacing w:after="0" w:line="1" w:lineRule="exact"/>
        <w:rPr>
          <w:rFonts w:ascii="Times New Roman" w:cs="Times New Roman" w:eastAsia="Times New Roman" w:hAnsi="Times New Roman"/>
          <w:sz w:val="18"/>
          <w:szCs w:val="18"/>
          <w:color w:val="auto"/>
        </w:rPr>
      </w:pPr>
    </w:p>
    <w:p>
      <w:pPr>
        <w:ind w:left="1140" w:right="292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4,100,000</w:t>
      </w:r>
    </w:p>
    <w:p>
      <w:pPr>
        <w:spacing w:after="0" w:line="1"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[_]</w:t>
      </w:r>
    </w:p>
    <w:p>
      <w:pPr>
        <w:spacing w:after="0" w:line="225" w:lineRule="exact"/>
        <w:rPr>
          <w:rFonts w:ascii="Times New Roman" w:cs="Times New Roman" w:eastAsia="Times New Roman" w:hAnsi="Times New Roman"/>
          <w:sz w:val="18"/>
          <w:szCs w:val="18"/>
          <w:color w:val="auto"/>
        </w:rPr>
      </w:pPr>
    </w:p>
    <w:p>
      <w:pPr>
        <w:ind w:left="1140" w:right="4420" w:hanging="1132"/>
        <w:spacing w:after="0" w:line="50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p>
    <w:p>
      <w:pPr>
        <w:spacing w:after="0" w:line="1" w:lineRule="exact"/>
        <w:rPr>
          <w:rFonts w:ascii="Times New Roman" w:cs="Times New Roman" w:eastAsia="Times New Roman" w:hAnsi="Times New Roman"/>
          <w:sz w:val="18"/>
          <w:szCs w:val="18"/>
          <w:color w:val="auto"/>
        </w:rPr>
      </w:pPr>
    </w:p>
    <w:p>
      <w:pPr>
        <w:ind w:left="1140" w:right="5140" w:hanging="1132"/>
        <w:spacing w:after="0" w:line="53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0" w:right="9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G8250T109</w:t>
            </w:r>
          </w:p>
        </w:tc>
        <w:tc>
          <w:tcPr>
            <w:tcW w:w="7860" w:type="dxa"/>
            <w:vAlign w:val="bottom"/>
          </w:tcPr>
          <w:p>
            <w:pPr>
              <w:spacing w:after="0"/>
              <w:rPr>
                <w:sz w:val="20"/>
                <w:szCs w:val="20"/>
                <w:color w:val="auto"/>
              </w:rPr>
            </w:pPr>
          </w:p>
        </w:tc>
      </w:tr>
      <w:tr>
        <w:trPr>
          <w:trHeight w:val="42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Social Capital Hedosophia Holdings Corp. II</w:t>
            </w:r>
          </w:p>
        </w:tc>
      </w:tr>
      <w:tr>
        <w:trPr>
          <w:trHeight w:val="426"/>
        </w:trPr>
        <w:tc>
          <w:tcPr>
            <w:tcW w:w="11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 University Ave, Suite 200</w:t>
            </w:r>
          </w:p>
        </w:tc>
      </w:tr>
      <w:tr>
        <w:trPr>
          <w:trHeight w:val="234"/>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 94301</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tcBorders>
              <w:bottom w:val="single" w:sz="8" w:color="auto"/>
            </w:tcBorders>
            <w:gridSpan w:val="2"/>
          </w:tcPr>
          <w:p>
            <w:pPr>
              <w:spacing w:after="0"/>
              <w:rPr>
                <w:sz w:val="18"/>
                <w:szCs w:val="18"/>
                <w:color w:val="auto"/>
              </w:rPr>
            </w:pPr>
          </w:p>
        </w:tc>
      </w:tr>
      <w:tr>
        <w:trPr>
          <w:trHeight w:val="4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(a) – (c)</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p>
        </w:tc>
      </w:tr>
      <w:tr>
        <w:trPr>
          <w:trHeight w:val="414"/>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Suvretta Capital Management, LLC – Delaware</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Suvretta Master Fund, Ltd. – Cayman Islands</w:t>
            </w:r>
          </w:p>
        </w:tc>
      </w:tr>
      <w:tr>
        <w:trPr>
          <w:trHeight w:val="234"/>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Aaron Cowen – U.S.A.</w:t>
            </w:r>
          </w:p>
        </w:tc>
      </w:tr>
      <w:tr>
        <w:trPr>
          <w:trHeight w:val="407"/>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Suvretta Capital Management, LLC:</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34"/>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14"/>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Suvretta Master Fund, Ltd.:</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Maples Corporate Services Limited</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 Box 309</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Ugland House</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34"/>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14"/>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Cowen:</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Suvretta Capital Management, LLC</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34"/>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425"/>
        </w:trPr>
        <w:tc>
          <w:tcPr>
            <w:tcW w:w="11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Class A ordinary shares, par value $0.0001 per share (“Class A Ordinary Shares”)</w:t>
            </w:r>
          </w:p>
        </w:tc>
      </w:tr>
      <w:tr>
        <w:trPr>
          <w:trHeight w:val="426"/>
        </w:trPr>
        <w:tc>
          <w:tcPr>
            <w:tcW w:w="11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G8250T109</w:t>
            </w:r>
          </w:p>
        </w:tc>
      </w:tr>
      <w:tr>
        <w:trPr>
          <w:trHeight w:val="777"/>
        </w:trPr>
        <w:tc>
          <w:tcPr>
            <w:tcW w:w="1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60" w:type="dxa"/>
            <w:vAlign w:val="bottom"/>
          </w:tcPr>
          <w:p>
            <w:pPr>
              <w:spacing w:after="0"/>
              <w:rPr>
                <w:sz w:val="20"/>
                <w:szCs w:val="20"/>
                <w:color w:val="auto"/>
              </w:rPr>
            </w:pPr>
          </w:p>
        </w:tc>
        <w:tc>
          <w:tcPr>
            <w:tcW w:w="9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If This Statement is filed pursuant to ss.240.13d-1(b) or 240.13d-2(b), or (c), check whether the person filing is a</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 (15 U.S.C. 78c).</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as defined in Section 3(a)(6) of the Exchange Act (15 U.S.C. 78c).</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 (15 U.S.C. 78c).</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U.S.C.1813);</w:t>
            </w:r>
          </w:p>
        </w:tc>
      </w:tr>
      <w:tr>
        <w:trPr>
          <w:trHeight w:val="414"/>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w:t>
            </w:r>
          </w:p>
        </w:tc>
      </w:tr>
      <w:tr>
        <w:trPr>
          <w:trHeight w:val="234"/>
        </w:trPr>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Act of 1940 (15 U.S.C. 80a-3);</w:t>
            </w:r>
          </w:p>
        </w:tc>
      </w:tr>
      <w:tr>
        <w:trPr>
          <w:trHeight w:val="432"/>
        </w:trPr>
        <w:tc>
          <w:tcPr>
            <w:tcW w:w="7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w:t>
            </w:r>
          </w:p>
        </w:tc>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in accordance with s.240.13d-1(b)(1)(ii)(J).</w:t>
            </w: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Ownership.</w:t>
            </w:r>
          </w:p>
        </w:tc>
        <w:tc>
          <w:tcPr>
            <w:tcW w:w="8680" w:type="dxa"/>
            <w:vAlign w:val="bottom"/>
          </w:tcPr>
          <w:p>
            <w:pPr>
              <w:spacing w:after="0"/>
              <w:rPr>
                <w:sz w:val="24"/>
                <w:szCs w:val="24"/>
                <w:color w:val="auto"/>
              </w:rPr>
            </w:pPr>
          </w:p>
        </w:tc>
      </w:tr>
    </w:tbl>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700" w:hanging="558"/>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700" w:right="5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4,100,000 Suvretta Master Fund, Ltd. – 4,047,240 Aaron Cowen – 4,100,000</w:t>
      </w:r>
    </w:p>
    <w:p>
      <w:pPr>
        <w:spacing w:after="0" w:line="177" w:lineRule="exact"/>
        <w:rPr>
          <w:rFonts w:ascii="Times New Roman" w:cs="Times New Roman" w:eastAsia="Times New Roman" w:hAnsi="Times New Roman"/>
          <w:sz w:val="18"/>
          <w:szCs w:val="18"/>
          <w:color w:val="auto"/>
        </w:rPr>
      </w:pPr>
    </w:p>
    <w:p>
      <w:pPr>
        <w:ind w:left="1700" w:hanging="558"/>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700" w:right="60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9.9% Suvretta Master Fund, Ltd. – 9.8% Aaron Cowen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-20955</wp:posOffset>
            </wp:positionV>
            <wp:extent cx="6060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-166370</wp:posOffset>
            </wp:positionV>
            <wp:extent cx="6060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-312420</wp:posOffset>
            </wp:positionV>
            <wp:extent cx="60604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-869315</wp:posOffset>
            </wp:positionV>
            <wp:extent cx="6060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-1015365</wp:posOffset>
            </wp:positionV>
            <wp:extent cx="6060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-1160780</wp:posOffset>
            </wp:positionV>
            <wp:extent cx="6060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796" w:right="739" w:bottom="1440" w:gutter="0" w:footer="0" w:header="0"/>
        </w:sectPr>
      </w:pPr>
    </w:p>
    <w:bookmarkStart w:id="6" w:name="page7"/>
    <w:bookmarkEnd w:id="6"/>
    <w:p>
      <w:pPr>
        <w:ind w:left="580" w:hanging="55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140" w:right="501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Suvretta Master Fund, Ltd. – 0 Aaron Cowen – 0</w:t>
      </w:r>
    </w:p>
    <w:p>
      <w:pPr>
        <w:spacing w:after="0" w:line="177"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140" w:right="439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4,100,000 Suvretta Master Fund, Ltd. – 4,047,240 Aaron Cowen – 4,100,000</w:t>
      </w:r>
    </w:p>
    <w:p>
      <w:pPr>
        <w:spacing w:after="0" w:line="177"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140" w:right="501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Suvretta Master Fund, Ltd. – 0 Aaron Cowen – 0</w:t>
      </w:r>
    </w:p>
    <w:p>
      <w:pPr>
        <w:spacing w:after="0" w:line="177" w:lineRule="exact"/>
        <w:rPr>
          <w:rFonts w:ascii="Times New Roman" w:cs="Times New Roman" w:eastAsia="Times New Roman" w:hAnsi="Times New Roman"/>
          <w:sz w:val="18"/>
          <w:szCs w:val="18"/>
          <w:color w:val="auto"/>
        </w:rPr>
      </w:pPr>
    </w:p>
    <w:p>
      <w:pPr>
        <w:ind w:left="1140" w:hanging="551"/>
        <w:spacing w:after="0"/>
        <w:tabs>
          <w:tab w:leader="none" w:pos="11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140" w:right="439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4,100,000 Suvretta Master Fund, Ltd. – 4,047,240 Aaron Cowen – 4,100,000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-20955</wp:posOffset>
            </wp:positionV>
            <wp:extent cx="57003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-166370</wp:posOffset>
            </wp:positionV>
            <wp:extent cx="5700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-312420</wp:posOffset>
            </wp:positionV>
            <wp:extent cx="5700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-869315</wp:posOffset>
            </wp:positionV>
            <wp:extent cx="57003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-1015365</wp:posOffset>
            </wp:positionV>
            <wp:extent cx="57003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-1160780</wp:posOffset>
            </wp:positionV>
            <wp:extent cx="5700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-1718310</wp:posOffset>
            </wp:positionV>
            <wp:extent cx="5700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-1863725</wp:posOffset>
            </wp:positionV>
            <wp:extent cx="57003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-2009775</wp:posOffset>
            </wp:positionV>
            <wp:extent cx="5700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-2566670</wp:posOffset>
            </wp:positionV>
            <wp:extent cx="5700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-2712720</wp:posOffset>
            </wp:positionV>
            <wp:extent cx="5700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-2858135</wp:posOffset>
            </wp:positionV>
            <wp:extent cx="5700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210185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120" w:firstLine="737"/>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100" w:firstLine="725"/>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All securities reported in this Schedule 13G are owned by advisory clients of Suvretta Capital Management, LLC. None of the advisory clients, with the exception of Suvretta Master Fund, Ltd., individually owns more than 5% of the outstanding shares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-13335</wp:posOffset>
            </wp:positionV>
            <wp:extent cx="641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right="100" w:firstLine="725"/>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firstLine="725"/>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right="540" w:firstLine="725"/>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700" w:hanging="558"/>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rFonts w:ascii="Times New Roman" w:cs="Times New Roman" w:eastAsia="Times New Roman" w:hAnsi="Times New Roman"/>
          <w:sz w:val="18"/>
          <w:szCs w:val="18"/>
          <w:color w:val="auto"/>
        </w:rPr>
      </w:pPr>
    </w:p>
    <w:p>
      <w:pPr>
        <w:ind w:left="170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Suvretta Master Fund, Ltd.*</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Reporting Persons disclaim beneficial ownership over the securities reported herein except to the extent of the Reporting Persons’ pecuniary interest therein.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dated September 22, 2020 relating to the Class A ordinary shares, par value $0.0001 per share of Social Capital Hedosophia Holdings Corp. II shall be filed on behalf of the undersigned.</w:t>
      </w:r>
    </w:p>
    <w:p>
      <w:pPr>
        <w:spacing w:after="0" w:line="16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September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Suvretta Master Fund, Ltd.</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2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17145</wp:posOffset>
            </wp:positionV>
            <wp:extent cx="38487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2020-09-22T16:04:40Z</dcterms:created>
  <dcterms:modified xsi:type="dcterms:W3CDTF">2020-09-22T16:04:40Z</dcterms:modified>
</cp:coreProperties>
</file>