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Opendoor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683712103</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Alejandro Moreno</w:t>
              <w:br/>
              <w:t>Access Industries, Inc., 40 West 57th St., 28th Floor</w:t>
              <w:br/>
              <w:t>New York, NY, 10019</w:t>
              <w:br/>
              <w:t>(212) 247-6400</w:t>
            </w:r>
          </w:p>
          <w:p>
            <w:pPr>
              <w:pStyle w:val="TableContents"/>
              <w:bidi w:val="0"/>
              <w:jc w:val="left"/>
              <w:rPr/>
            </w:pPr>
            <w:r>
              <w:rPr/>
            </w:r>
          </w:p>
          <w:p>
            <w:pPr>
              <w:pStyle w:val="TableContents"/>
              <w:bidi w:val="0"/>
              <w:spacing w:before="0" w:after="0"/>
              <w:jc w:val="center"/>
              <w:rPr>
                <w:b/>
                <w:color w:val="0000FF"/>
              </w:rPr>
            </w:pPr>
            <w:r>
              <w:rPr>
                <w:b/>
                <w:color w:val="0000FF"/>
              </w:rPr>
              <w:t>Langhorne S. Perrow</w:t>
              <w:br/>
              <w:t>Access Industries, Inc., 40 West 57th St., 28th Floor</w:t>
              <w:br/>
              <w:t>New York, NY, 10019</w:t>
              <w:br/>
              <w:t>(212) 247-6400</w:t>
            </w:r>
          </w:p>
          <w:p>
            <w:pPr>
              <w:pStyle w:val="TableContents"/>
              <w:bidi w:val="0"/>
              <w:jc w:val="left"/>
              <w:rPr/>
            </w:pPr>
            <w:r>
              <w:rPr/>
            </w:r>
          </w:p>
          <w:p>
            <w:pPr>
              <w:pStyle w:val="TableContents"/>
              <w:bidi w:val="0"/>
              <w:spacing w:before="0" w:after="0"/>
              <w:jc w:val="center"/>
              <w:rPr>
                <w:b/>
                <w:color w:val="0000FF"/>
              </w:rPr>
            </w:pPr>
            <w:r>
              <w:rPr>
                <w:b/>
                <w:color w:val="0000FF"/>
              </w:rPr>
              <w:t>Nicholas P. Pellicani</w:t>
              <w:br/>
              <w:t>Debevoise &amp; Plimpton LLP, 28 Tudor Street</w:t>
              <w:br/>
              <w:t>London, X0, EC4Y 0AY</w:t>
              <w:br/>
              <w:t>44 20 7786 9000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09/12/2025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683712103</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Access Industries Management,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42,724,914.00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42,724,914.00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42,724,914.00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5.76 %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 Based on an aggregate of 742,119,598 shares of Common Stock issued and outstanding, consisting of (i) 735,954,186 shares stated to be outstanding as of July 29, 2025, as stated on the Issuer's Quarterly Report on Form 10-Q for the quarterly period ended June 30, 2025, filed with the Securities and Exchange Commission (the "SEC") on August 5, 2025 and (ii) an aggregate of 6,165,412 shares issued by the Issuer in a private placement on September 10,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683712103</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AI LiquidRE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42,650,812.00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42,650,812.00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42,650,812.00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5.75 %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 xml:space="preserve">* Excludes shares of Common Stock that are owned directly by LBIT 2022 LLC. ** Based on an aggregate of 742,119,598 shares of Common Stock issued and outstanding, consisting of (i) 735,954,186 shares stated to be outstanding as of July 29, 2025, as stated on the Issuer's Quarterly Report on Form 10-Q for the quarterly period ended June 30, 2025, filed with the SEC on August 5, 2025 and (ii) an aggregate of 6,165,412 shares issued by the Issuer in a private placement on September 10, 2025.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683712103</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Len Blavatnik</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42,724,914.00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42,724,914.00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42,724,914.00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5.76 %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 xml:space="preserve">* Based on an aggregate of 742,119,598 shares of Common Stock issued and outstanding, consisting of (i) 735,954,186 shares stated to be outstanding as of July 29, 2025, as stated on the Issuer's Quarterly Report on Form 10-Q for the quarterly period ended June 30, 2025, filed with the SEC on August 5, 2025 and (ii) an aggregate of 6,165,412 shares issued by the Issuer in a private placement on September 10, 2025.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71"/>
        <w:gridCol w:w="8879"/>
        <w:gridCol w:w="155"/>
      </w:tblGrid>
      <w:tr>
        <w:trPr/>
        <w:tc>
          <w:tcPr>
            <w:tcW w:w="1171" w:type="dxa"/>
            <w:tcBorders/>
            <w:vAlign w:val="center"/>
          </w:tcPr>
          <w:p>
            <w:pPr>
              <w:pStyle w:val="TableContents"/>
              <w:bidi w:val="0"/>
              <w:spacing w:before="0" w:after="283"/>
              <w:jc w:val="left"/>
              <w:rPr/>
            </w:pPr>
            <w:r>
              <w:rPr/>
              <w:t>Item 1.</w:t>
            </w:r>
          </w:p>
        </w:tc>
        <w:tc>
          <w:tcPr>
            <w:tcW w:w="8879"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(a)</w:t>
            </w:r>
          </w:p>
        </w:tc>
        <w:tc>
          <w:tcPr>
            <w:tcW w:w="887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(b)</w:t>
            </w:r>
          </w:p>
        </w:tc>
        <w:tc>
          <w:tcPr>
            <w:tcW w:w="8879" w:type="dxa"/>
            <w:tcBorders/>
            <w:vAlign w:val="center"/>
          </w:tcPr>
          <w:p>
            <w:pPr>
              <w:pStyle w:val="TableContents"/>
              <w:bidi w:val="0"/>
              <w:jc w:val="left"/>
              <w:rPr/>
            </w:pPr>
            <w:r>
              <w:rPr/>
              <w:t xml:space="preserve">Name of Issuer: </w:t>
            </w:r>
          </w:p>
          <w:p>
            <w:pPr>
              <w:pStyle w:val="TableContents"/>
              <w:bidi w:val="0"/>
              <w:spacing w:before="0" w:after="0"/>
              <w:jc w:val="left"/>
              <w:rPr/>
            </w:pPr>
            <w:r>
              <w:rPr/>
              <w:t>Opendoor Technologies Inc.</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(c)</w:t>
            </w:r>
          </w:p>
        </w:tc>
        <w:tc>
          <w:tcPr>
            <w:tcW w:w="887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410 N. Scottsdale Road, Suite 1000, Tempe, ARIZONA , 85288.</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 xml:space="preserve">This Amendment No. 4 to Schedule 13D is being filed by Access Industries Management, LLC ("AIM"), AI LiquidRE LLC ("AIL"), LBIT 2002 LLC ("LBIT") and Len Blavatnik (collectively, the "Reporting Persons", and each, a "Reporting Person") to report a change in the percentage of shares of common stock, $0.0001 par value per share (the "Common Stock"), of Opendoor Technologies Inc. (the "Issuer") beneficially owned by the Reporting Persons. The Schedule 13D filed by the Reporting Persons with the Securities and Exchange Commission (the "SEC") on December 28, 2020, as amended and supplemented by Amendment No. 1 to the Schedule 13D, filed with the SEC on August 24, 2021, Amendment No. 2 to the Schedule 13D, filed with the SEC on October 6, 2021 and Amendment No. 3 to the Schedule 13D, filed with the SEC on May 6, 2024, is hereby amended and supplemented by the Reporting Persons as set forth below in this Amendment No. 4. This amendment is filed by the Reporting Persons in accordance with Rule 13d-2 of the Securities Exchange Act of 1934, as amended, and refers only to information that has materially changed since the filing of the Schedule 13D. The items identified below, or the particular paragraphs of such items which are identified below, are amended as set forth below. Unless otherwise indicated, all capitalized terms used and not defined herein have the respective meanings assigned to them in the Schedule 13D. </w:t>
            </w:r>
          </w:p>
        </w:tc>
      </w:tr>
      <w:tr>
        <w:trPr/>
        <w:tc>
          <w:tcPr>
            <w:tcW w:w="1171" w:type="dxa"/>
            <w:tcBorders/>
            <w:vAlign w:val="center"/>
          </w:tcPr>
          <w:p>
            <w:pPr>
              <w:pStyle w:val="TableContents"/>
              <w:bidi w:val="0"/>
              <w:spacing w:before="0" w:after="283"/>
              <w:jc w:val="left"/>
              <w:rPr/>
            </w:pPr>
            <w:r>
              <w:rPr/>
              <w:t>Item 4.</w:t>
            </w:r>
          </w:p>
        </w:tc>
        <w:tc>
          <w:tcPr>
            <w:tcW w:w="8879"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spacing w:before="0" w:after="0"/>
              <w:jc w:val="left"/>
              <w:rPr/>
            </w:pPr>
            <w:r>
              <w:rPr/>
              <w:t xml:space="preserve">The disclosure in Item 4 to the Schedule is hereby supplemented by adding the following at the end thereof: On September 10, 2025, Pueo Keffer informed the Issuer's board of directors of his decision to retire from his position as director and all committees of the Issuer's board of directors, effective immediately.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Item 5.</w:t>
            </w:r>
          </w:p>
        </w:tc>
        <w:tc>
          <w:tcPr>
            <w:tcW w:w="8879"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(a)</w:t>
            </w:r>
          </w:p>
        </w:tc>
        <w:tc>
          <w:tcPr>
            <w:tcW w:w="8879" w:type="dxa"/>
            <w:tcBorders/>
            <w:vAlign w:val="center"/>
          </w:tcPr>
          <w:p>
            <w:pPr>
              <w:pStyle w:val="TableContents"/>
              <w:bidi w:val="0"/>
              <w:spacing w:before="0" w:after="0"/>
              <w:jc w:val="left"/>
              <w:rPr/>
            </w:pPr>
            <w:r>
              <w:rPr/>
              <w:t xml:space="preserve">The disclosure in Items 5(a), (b) and (c) is hereby amended and restated in its entirety to read as follows: (a) and (b) The responses of each of the Reporting Persons with respect to Rows 11, 12, and 13 of the cover pages of this Schedule 13D that relate to the aggregate number and percentage of Common Stock (including, but not limited to, footnotes to such information) are incorporated herein by reference. The responses of each of the Reporting Persons with respect to Rows 7, 8, 9, and 10 of the cover pages of this Schedule 13D that relate to the number of Common Stock as to which each of the persons or entities referenced in Item 2 has sole or shared power to vote or to direct the vote of and sole or shared power to dispose of or to direct the disposition of (including, but not limited to, footnotes to such information) are incorporated herein by reference. 42,650,812 shares of Common Stock are owned directly by AIL and may be deemed to be beneficially owned by AIM and Len Blavatnik because (i) AIM is the controlling entity of AIL and (ii) Len Blavatnik controls AIM and holds a majority of the outstanding voting interests in AIL. Each of the Reporting Persons (other than AIL), and each of their affiliated entities and the officers, partners, members and managers thereof, disclaims beneficial ownership of these securities. 74,102 shares of Common Stock are owned directly by LBIT and may be deemed to be beneficially owned by AIM and Len Blavatnik because (i) AIM is the controlling entity of LBIT and (ii) Len Blavatnik controls AIM and LBIT. Each of the Reporting Persons (other than LBIT), and each of their affiliated entities and the officers, partners, members and managers thereof, disclaims beneficial ownership of these securities.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(c)</w:t>
            </w:r>
          </w:p>
        </w:tc>
        <w:tc>
          <w:tcPr>
            <w:tcW w:w="8879" w:type="dxa"/>
            <w:tcBorders/>
            <w:vAlign w:val="center"/>
          </w:tcPr>
          <w:p>
            <w:pPr>
              <w:pStyle w:val="TableContents"/>
              <w:bidi w:val="0"/>
              <w:spacing w:before="0" w:after="0"/>
              <w:jc w:val="left"/>
              <w:rPr/>
            </w:pPr>
            <w:r>
              <w:rPr/>
              <w:t xml:space="preserve">On September 12, 2025, AIL sold 10,874,000 shares of Common Stock at a weighted average price of $9.1976 per share in open market transactions.1 (1) These shares were sold in multiple transactions at prices ranging from $8.7650 to $9.7650, inclusive. The Reporting Persons undertake to provide to the staff of the SEC, upon request, full information regarding the number of shares purchased at each separate price within such range.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Item 7.</w:t>
            </w:r>
          </w:p>
        </w:tc>
        <w:tc>
          <w:tcPr>
            <w:tcW w:w="8879"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spacing w:before="0" w:after="0"/>
              <w:jc w:val="left"/>
              <w:rPr/>
            </w:pPr>
            <w:r>
              <w:rPr/>
              <w:t>99.3.4 Joint Filing Agreement, dated as of September 16, 2025.</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88" w:type="dxa"/>
        <w:jc w:val="left"/>
        <w:tblInd w:w="0" w:type="dxa"/>
        <w:tblLayout w:type="fixed"/>
        <w:tblCellMar>
          <w:top w:w="28" w:type="dxa"/>
          <w:left w:w="28" w:type="dxa"/>
          <w:bottom w:w="28" w:type="dxa"/>
          <w:right w:w="28" w:type="dxa"/>
        </w:tblCellMar>
      </w:tblPr>
      <w:tblGrid>
        <w:gridCol w:w="3794"/>
        <w:gridCol w:w="3794"/>
      </w:tblGrid>
      <w:tr>
        <w:trPr/>
        <w:tc>
          <w:tcPr>
            <w:tcW w:w="3794" w:type="dxa"/>
            <w:tcBorders/>
            <w:vAlign w:val="center"/>
          </w:tcPr>
          <w:p>
            <w:pPr>
              <w:pStyle w:val="TableContents"/>
              <w:bidi w:val="0"/>
              <w:spacing w:before="0" w:after="0"/>
              <w:jc w:val="left"/>
              <w:rPr/>
            </w:pPr>
            <w:r>
              <w:rPr/>
              <w:t> </w:t>
            </w:r>
          </w:p>
          <w:tbl>
            <w:tblPr>
              <w:tblW w:w="3691" w:type="dxa"/>
              <w:jc w:val="left"/>
              <w:tblInd w:w="0" w:type="dxa"/>
              <w:tblLayout w:type="fixed"/>
              <w:tblCellMar>
                <w:top w:w="28" w:type="dxa"/>
                <w:left w:w="28" w:type="dxa"/>
                <w:bottom w:w="28" w:type="dxa"/>
                <w:right w:w="28" w:type="dxa"/>
              </w:tblCellMar>
            </w:tblPr>
            <w:tblGrid>
              <w:gridCol w:w="3691"/>
            </w:tblGrid>
            <w:tr>
              <w:trPr/>
              <w:tc>
                <w:tcPr>
                  <w:tcW w:w="3691" w:type="dxa"/>
                  <w:tcBorders/>
                  <w:vAlign w:val="center"/>
                </w:tcPr>
                <w:p>
                  <w:pPr>
                    <w:pStyle w:val="TableContents"/>
                    <w:bidi w:val="0"/>
                    <w:spacing w:before="0" w:after="0"/>
                    <w:jc w:val="left"/>
                    <w:rPr/>
                  </w:pPr>
                  <w:r>
                    <w:rPr/>
                    <w:t>Access Industries Management, LLC</w:t>
                  </w:r>
                </w:p>
              </w:tc>
            </w:tr>
          </w:tbl>
          <w:p>
            <w:pPr>
              <w:pStyle w:val="TableContents"/>
              <w:bidi w:val="0"/>
              <w:spacing w:before="0" w:after="283"/>
              <w:jc w:val="left"/>
              <w:rPr/>
            </w:pPr>
            <w:r>
              <w:rPr/>
            </w:r>
          </w:p>
        </w:tc>
        <w:tc>
          <w:tcPr>
            <w:tcW w:w="37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Alejandro Moreno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Executive Vice President, General Counsel/Alejandro Moreno</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09/16/2025</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4162" w:type="dxa"/>
        <w:jc w:val="left"/>
        <w:tblInd w:w="0" w:type="dxa"/>
        <w:tblLayout w:type="fixed"/>
        <w:tblCellMar>
          <w:top w:w="28" w:type="dxa"/>
          <w:left w:w="28" w:type="dxa"/>
          <w:bottom w:w="28" w:type="dxa"/>
          <w:right w:w="28" w:type="dxa"/>
        </w:tblCellMar>
      </w:tblPr>
      <w:tblGrid>
        <w:gridCol w:w="2081"/>
        <w:gridCol w:w="2081"/>
      </w:tblGrid>
      <w:tr>
        <w:trPr/>
        <w:tc>
          <w:tcPr>
            <w:tcW w:w="2081" w:type="dxa"/>
            <w:tcBorders/>
            <w:vAlign w:val="center"/>
          </w:tcPr>
          <w:p>
            <w:pPr>
              <w:pStyle w:val="TableContents"/>
              <w:bidi w:val="0"/>
              <w:spacing w:before="0" w:after="0"/>
              <w:jc w:val="left"/>
              <w:rPr/>
            </w:pPr>
            <w:r>
              <w:rPr/>
              <w:t> </w:t>
            </w:r>
          </w:p>
          <w:tbl>
            <w:tblPr>
              <w:tblW w:w="1951" w:type="dxa"/>
              <w:jc w:val="left"/>
              <w:tblInd w:w="0" w:type="dxa"/>
              <w:tblLayout w:type="fixed"/>
              <w:tblCellMar>
                <w:top w:w="28" w:type="dxa"/>
                <w:left w:w="28" w:type="dxa"/>
                <w:bottom w:w="28" w:type="dxa"/>
                <w:right w:w="28" w:type="dxa"/>
              </w:tblCellMar>
            </w:tblPr>
            <w:tblGrid>
              <w:gridCol w:w="1951"/>
            </w:tblGrid>
            <w:tr>
              <w:trPr/>
              <w:tc>
                <w:tcPr>
                  <w:tcW w:w="1951" w:type="dxa"/>
                  <w:tcBorders/>
                  <w:vAlign w:val="center"/>
                </w:tcPr>
                <w:p>
                  <w:pPr>
                    <w:pStyle w:val="TableContents"/>
                    <w:bidi w:val="0"/>
                    <w:spacing w:before="0" w:after="0"/>
                    <w:jc w:val="left"/>
                    <w:rPr/>
                  </w:pPr>
                  <w:r>
                    <w:rPr/>
                    <w:t>AI LiquidRE LLC</w:t>
                  </w:r>
                </w:p>
              </w:tc>
            </w:tr>
          </w:tbl>
          <w:p>
            <w:pPr>
              <w:pStyle w:val="TableContents"/>
              <w:bidi w:val="0"/>
              <w:spacing w:before="0" w:after="283"/>
              <w:jc w:val="left"/>
              <w:rPr/>
            </w:pPr>
            <w:r>
              <w:rPr/>
            </w:r>
          </w:p>
        </w:tc>
        <w:tc>
          <w:tcPr>
            <w:tcW w:w="20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6"/>
        <w:gridCol w:w="4209"/>
      </w:tblGrid>
      <w:tr>
        <w:trPr/>
        <w:tc>
          <w:tcPr>
            <w:tcW w:w="59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Alejandro Moreno</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By: Access Industries Management, LLC, its manager; its Executive Vice President, General Counsel/Alejandro Moreno</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09/16/2025</w:t>
                  </w:r>
                </w:p>
              </w:tc>
            </w:tr>
          </w:tbl>
          <w:p>
            <w:pPr>
              <w:pStyle w:val="TableContents"/>
              <w:bidi w:val="0"/>
              <w:spacing w:before="0" w:after="283"/>
              <w:jc w:val="left"/>
              <w:rPr/>
            </w:pPr>
            <w:r>
              <w:rPr/>
            </w:r>
          </w:p>
        </w:tc>
        <w:tc>
          <w:tcPr>
            <w:tcW w:w="4209" w:type="dxa"/>
            <w:tcBorders/>
            <w:vAlign w:val="center"/>
          </w:tcPr>
          <w:p>
            <w:pPr>
              <w:pStyle w:val="TableContents"/>
              <w:bidi w:val="0"/>
              <w:spacing w:before="0" w:after="283"/>
              <w:jc w:val="left"/>
              <w:rPr>
                <w:sz w:val="4"/>
                <w:szCs w:val="4"/>
              </w:rPr>
            </w:pPr>
            <w:r>
              <w:rPr>
                <w:sz w:val="4"/>
                <w:szCs w:val="4"/>
              </w:rPr>
            </w:r>
          </w:p>
        </w:tc>
      </w:tr>
    </w:tbl>
    <w:tbl>
      <w:tblPr>
        <w:tblW w:w="3278" w:type="dxa"/>
        <w:jc w:val="left"/>
        <w:tblInd w:w="0" w:type="dxa"/>
        <w:tblLayout w:type="fixed"/>
        <w:tblCellMar>
          <w:top w:w="28" w:type="dxa"/>
          <w:left w:w="28" w:type="dxa"/>
          <w:bottom w:w="28" w:type="dxa"/>
          <w:right w:w="28" w:type="dxa"/>
        </w:tblCellMar>
      </w:tblPr>
      <w:tblGrid>
        <w:gridCol w:w="1639"/>
        <w:gridCol w:w="1639"/>
      </w:tblGrid>
      <w:tr>
        <w:trPr/>
        <w:tc>
          <w:tcPr>
            <w:tcW w:w="1639" w:type="dxa"/>
            <w:tcBorders/>
            <w:vAlign w:val="center"/>
          </w:tcPr>
          <w:p>
            <w:pPr>
              <w:pStyle w:val="TableContents"/>
              <w:bidi w:val="0"/>
              <w:spacing w:before="0" w:after="0"/>
              <w:jc w:val="left"/>
              <w:rPr/>
            </w:pPr>
            <w:r>
              <w:rPr/>
              <w:t> </w:t>
            </w:r>
          </w:p>
          <w:tbl>
            <w:tblPr>
              <w:tblW w:w="1516" w:type="dxa"/>
              <w:jc w:val="left"/>
              <w:tblInd w:w="0" w:type="dxa"/>
              <w:tblLayout w:type="fixed"/>
              <w:tblCellMar>
                <w:top w:w="28" w:type="dxa"/>
                <w:left w:w="28" w:type="dxa"/>
                <w:bottom w:w="28" w:type="dxa"/>
                <w:right w:w="28" w:type="dxa"/>
              </w:tblCellMar>
            </w:tblPr>
            <w:tblGrid>
              <w:gridCol w:w="1516"/>
            </w:tblGrid>
            <w:tr>
              <w:trPr/>
              <w:tc>
                <w:tcPr>
                  <w:tcW w:w="1516" w:type="dxa"/>
                  <w:tcBorders/>
                  <w:vAlign w:val="center"/>
                </w:tcPr>
                <w:p>
                  <w:pPr>
                    <w:pStyle w:val="TableContents"/>
                    <w:bidi w:val="0"/>
                    <w:spacing w:before="0" w:after="0"/>
                    <w:jc w:val="left"/>
                    <w:rPr/>
                  </w:pPr>
                  <w:r>
                    <w:rPr/>
                    <w:t>Len Blavatnik</w:t>
                  </w:r>
                </w:p>
              </w:tc>
            </w:tr>
          </w:tbl>
          <w:p>
            <w:pPr>
              <w:pStyle w:val="TableContents"/>
              <w:bidi w:val="0"/>
              <w:spacing w:before="0" w:after="283"/>
              <w:jc w:val="left"/>
              <w:rPr/>
            </w:pPr>
            <w:r>
              <w:rPr/>
            </w:r>
          </w:p>
        </w:tc>
        <w:tc>
          <w:tcPr>
            <w:tcW w:w="16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2"/>
        <w:gridCol w:w="4093"/>
      </w:tblGrid>
      <w:tr>
        <w:trPr/>
        <w:tc>
          <w:tcPr>
            <w:tcW w:w="61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3"/>
              <w:gridCol w:w="9052"/>
            </w:tblGrid>
            <w:tr>
              <w:trPr/>
              <w:tc>
                <w:tcPr>
                  <w:tcW w:w="1153" w:type="dxa"/>
                  <w:tcBorders/>
                  <w:vAlign w:val="center"/>
                </w:tcPr>
                <w:p>
                  <w:pPr>
                    <w:pStyle w:val="TableContents"/>
                    <w:bidi w:val="0"/>
                    <w:spacing w:before="0" w:after="283"/>
                    <w:jc w:val="left"/>
                    <w:rPr/>
                  </w:pPr>
                  <w:r>
                    <w:rPr/>
                    <w:t>Signature:</w:t>
                  </w:r>
                </w:p>
              </w:tc>
              <w:tc>
                <w:tcPr>
                  <w:tcW w:w="9052" w:type="dxa"/>
                  <w:tcBorders/>
                  <w:vAlign w:val="center"/>
                </w:tcPr>
                <w:p>
                  <w:pPr>
                    <w:pStyle w:val="TableContents"/>
                    <w:bidi w:val="0"/>
                    <w:spacing w:before="0" w:after="283"/>
                    <w:jc w:val="left"/>
                    <w:rPr/>
                  </w:pPr>
                  <w:r>
                    <w:rPr/>
                    <w:t>*/s/ Alejandro Moreno</w:t>
                  </w:r>
                </w:p>
              </w:tc>
            </w:tr>
            <w:tr>
              <w:trPr/>
              <w:tc>
                <w:tcPr>
                  <w:tcW w:w="1153" w:type="dxa"/>
                  <w:tcBorders/>
                  <w:vAlign w:val="center"/>
                </w:tcPr>
                <w:p>
                  <w:pPr>
                    <w:pStyle w:val="TableContents"/>
                    <w:bidi w:val="0"/>
                    <w:spacing w:before="0" w:after="283"/>
                    <w:jc w:val="left"/>
                    <w:rPr/>
                  </w:pPr>
                  <w:r>
                    <w:rPr/>
                    <w:t>Name/Title:</w:t>
                  </w:r>
                </w:p>
              </w:tc>
              <w:tc>
                <w:tcPr>
                  <w:tcW w:w="9052" w:type="dxa"/>
                  <w:tcBorders/>
                  <w:vAlign w:val="center"/>
                </w:tcPr>
                <w:p>
                  <w:pPr>
                    <w:pStyle w:val="TableContents"/>
                    <w:bidi w:val="0"/>
                    <w:spacing w:before="0" w:after="283"/>
                    <w:jc w:val="left"/>
                    <w:rPr/>
                  </w:pPr>
                  <w:r>
                    <w:rPr/>
                    <w:t>By: Alejandro Moreno as Attorney-in-Fact for Len Blavatnik</w:t>
                  </w:r>
                </w:p>
              </w:tc>
            </w:tr>
            <w:tr>
              <w:trPr/>
              <w:tc>
                <w:tcPr>
                  <w:tcW w:w="1153" w:type="dxa"/>
                  <w:tcBorders/>
                  <w:vAlign w:val="center"/>
                </w:tcPr>
                <w:p>
                  <w:pPr>
                    <w:pStyle w:val="TableContents"/>
                    <w:bidi w:val="0"/>
                    <w:spacing w:before="0" w:after="283"/>
                    <w:jc w:val="left"/>
                    <w:rPr/>
                  </w:pPr>
                  <w:r>
                    <w:rPr/>
                    <w:t>Date:</w:t>
                  </w:r>
                </w:p>
              </w:tc>
              <w:tc>
                <w:tcPr>
                  <w:tcW w:w="9052" w:type="dxa"/>
                  <w:tcBorders/>
                  <w:vAlign w:val="center"/>
                </w:tcPr>
                <w:p>
                  <w:pPr>
                    <w:pStyle w:val="TableContents"/>
                    <w:bidi w:val="0"/>
                    <w:spacing w:before="0" w:after="283"/>
                    <w:jc w:val="left"/>
                    <w:rPr/>
                  </w:pPr>
                  <w:r>
                    <w:rPr/>
                    <w:t>09/16/2025</w:t>
                  </w:r>
                </w:p>
              </w:tc>
            </w:tr>
          </w:tbl>
          <w:p>
            <w:pPr>
              <w:pStyle w:val="TableContents"/>
              <w:bidi w:val="0"/>
              <w:spacing w:before="0" w:after="283"/>
              <w:jc w:val="left"/>
              <w:rPr/>
            </w:pPr>
            <w:r>
              <w:rPr/>
            </w:r>
          </w:p>
        </w:tc>
        <w:tc>
          <w:tcPr>
            <w:tcW w:w="409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0"/>
              <w:ind w:left="0" w:right="75" w:hanging="0"/>
              <w:jc w:val="left"/>
              <w:rPr>
                <w:b/>
              </w:rPr>
            </w:pPr>
            <w:r>
              <w:rPr>
                <w:b/>
              </w:rPr>
              <w:t xml:space="preserve">Comments accompanying signature: </w:t>
            </w:r>
          </w:p>
          <w:p>
            <w:pPr>
              <w:pStyle w:val="TableContents"/>
              <w:bidi w:val="0"/>
              <w:spacing w:before="0" w:after="0"/>
              <w:jc w:val="both"/>
              <w:rPr/>
            </w:pPr>
            <w:r>
              <w:rPr/>
              <w:t>*The above signed, by signing his name hereto, executes this Schedule 13D pursuant to the Limited Power of Attorney executed on behalf of Mr. Blavatnik and filed herewith.</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1732</Words>
  <Characters>8822</Characters>
  <CharactersWithSpaces>10465</CharactersWithSpaces>
  <Paragraphs>214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