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Wu Eric Chung-Wei</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12/18/2020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Opendoor Technologies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OPEN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00" w:type="dxa"/>
            <w:vAlign w:val="bottom"/>
          </w:tcPr>
          <w:p>
            <w:pPr>
              <w:ind w:left="280"/>
              <w:spacing w:after="0"/>
              <w:rPr>
                <w:sz w:val="20"/>
                <w:szCs w:val="20"/>
                <w:color w:val="auto"/>
              </w:rPr>
            </w:pPr>
            <w:r>
              <w:rPr>
                <w:rFonts w:ascii="Arial" w:cs="Arial" w:eastAsia="Arial" w:hAnsi="Arial"/>
                <w:sz w:val="15"/>
                <w:szCs w:val="15"/>
                <w:color w:val="auto"/>
              </w:rPr>
              <w:t>(First)</w:t>
            </w:r>
          </w:p>
        </w:tc>
        <w:tc>
          <w:tcPr>
            <w:tcW w:w="1320" w:type="dxa"/>
            <w:vAlign w:val="bottom"/>
          </w:tcPr>
          <w:p>
            <w:pPr>
              <w:jc w:val="center"/>
              <w:ind w:right="54"/>
              <w:spacing w:after="0"/>
              <w:rPr>
                <w:sz w:val="20"/>
                <w:szCs w:val="20"/>
                <w:color w:val="auto"/>
              </w:rPr>
            </w:pPr>
            <w:r>
              <w:rPr>
                <w:rFonts w:ascii="Arial" w:cs="Arial" w:eastAsia="Arial" w:hAnsi="Arial"/>
                <w:sz w:val="15"/>
                <w:szCs w:val="15"/>
                <w:color w:val="auto"/>
                <w:w w:val="99"/>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1 POST STREET, FLOOR 11</w:t>
            </w:r>
          </w:p>
        </w:tc>
      </w:tr>
      <w:tr>
        <w:trPr>
          <w:trHeight w:val="237"/>
        </w:trPr>
        <w:tc>
          <w:tcPr>
            <w:tcW w:w="78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1"/>
        </w:trPr>
        <w:tc>
          <w:tcPr>
            <w:tcW w:w="780" w:type="dxa"/>
            <w:vAlign w:val="bottom"/>
          </w:tcPr>
          <w:p>
            <w:pPr>
              <w:ind w:left="40"/>
              <w:spacing w:after="0" w:line="211" w:lineRule="exact"/>
              <w:rPr>
                <w:sz w:val="20"/>
                <w:szCs w:val="20"/>
                <w:color w:val="auto"/>
              </w:rPr>
            </w:pPr>
            <w:r>
              <w:rPr>
                <w:rFonts w:ascii="Arial" w:cs="Arial" w:eastAsia="Arial" w:hAnsi="Arial"/>
                <w:sz w:val="20"/>
                <w:szCs w:val="20"/>
                <w:color w:val="0000FF"/>
              </w:rPr>
              <w:t>SAN</w:t>
            </w: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509"/>
        </w:trPr>
        <w:tc>
          <w:tcPr>
            <w:tcW w:w="1780" w:type="dxa"/>
            <w:vAlign w:val="bottom"/>
            <w:gridSpan w:val="2"/>
          </w:tcPr>
          <w:p>
            <w:pPr>
              <w:ind w:left="40"/>
              <w:spacing w:after="0"/>
              <w:rPr>
                <w:sz w:val="20"/>
                <w:szCs w:val="20"/>
                <w:color w:val="auto"/>
              </w:rPr>
            </w:pPr>
            <w:r>
              <w:rPr>
                <w:rFonts w:ascii="Arial" w:cs="Arial" w:eastAsia="Arial" w:hAnsi="Arial"/>
                <w:sz w:val="20"/>
                <w:szCs w:val="20"/>
                <w:color w:val="0000FF"/>
              </w:rPr>
              <w:t xml:space="preserve">FRANCISCO </w:t>
            </w:r>
            <w:r>
              <w:rPr>
                <w:rFonts w:ascii="Arial" w:cs="Arial" w:eastAsia="Arial" w:hAnsi="Arial"/>
                <w:sz w:val="39"/>
                <w:szCs w:val="39"/>
                <w:color w:val="0000FF"/>
                <w:vertAlign w:val="superscript"/>
              </w:rPr>
              <w:t>CA</w:t>
            </w:r>
          </w:p>
        </w:tc>
        <w:tc>
          <w:tcPr>
            <w:tcW w:w="1320" w:type="dxa"/>
            <w:vAlign w:val="bottom"/>
          </w:tcPr>
          <w:p>
            <w:pPr>
              <w:jc w:val="right"/>
              <w:ind w:right="394"/>
              <w:spacing w:after="0"/>
              <w:rPr>
                <w:sz w:val="20"/>
                <w:szCs w:val="20"/>
                <w:color w:val="auto"/>
              </w:rPr>
            </w:pPr>
            <w:r>
              <w:rPr>
                <w:rFonts w:ascii="Arial" w:cs="Arial" w:eastAsia="Arial" w:hAnsi="Arial"/>
                <w:sz w:val="20"/>
                <w:szCs w:val="20"/>
                <w:color w:val="0000FF"/>
              </w:rPr>
              <w:t>94104</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92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660" w:type="dxa"/>
            <w:vAlign w:val="bottom"/>
          </w:tcPr>
          <w:p>
            <w:pPr>
              <w:ind w:left="72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920" w:type="dxa"/>
            <w:vAlign w:val="bottom"/>
          </w:tcPr>
          <w:p>
            <w:pPr>
              <w:ind w:left="100"/>
              <w:spacing w:after="0"/>
              <w:rPr>
                <w:sz w:val="20"/>
                <w:szCs w:val="20"/>
                <w:color w:val="auto"/>
              </w:rPr>
            </w:pPr>
            <w:r>
              <w:rPr>
                <w:rFonts w:ascii="Arial" w:cs="Arial" w:eastAsia="Arial" w:hAnsi="Arial"/>
                <w:sz w:val="15"/>
                <w:szCs w:val="15"/>
                <w:color w:val="auto"/>
                <w:w w:val="98"/>
              </w:rPr>
              <w:t>Officer (give</w:t>
            </w:r>
          </w:p>
        </w:tc>
        <w:tc>
          <w:tcPr>
            <w:tcW w:w="1660" w:type="dxa"/>
            <w:vAlign w:val="bottom"/>
          </w:tcPr>
          <w:p>
            <w:pPr>
              <w:ind w:left="72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92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660" w:type="dxa"/>
            <w:vAlign w:val="bottom"/>
            <w:vMerge w:val="restart"/>
          </w:tcPr>
          <w:p>
            <w:pPr>
              <w:ind w:left="72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Arial" w:cs="Arial" w:eastAsia="Arial" w:hAnsi="Arial"/>
                <w:sz w:val="20"/>
                <w:szCs w:val="20"/>
                <w:color w:val="0000FF"/>
              </w:rPr>
              <w:t>CEO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71"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Carrie Wheeler,</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12/22/2020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 fact</w:t>
            </w:r>
          </w:p>
        </w:tc>
        <w:tc>
          <w:tcPr>
            <w:tcW w:w="7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color w:val="auto"/>
        </w:rPr>
        <w:t>With respect to holdings of and transactions in securities issued by Opendoor Technologies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xml:space="preserve">”), the undersigned hereby constitutes and appoints the individuals named on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attached hereto and as may be amended from time to time, or any of them signing singly, with full power of substitution and resubstitution, to act as the undersigned’s true and lawful attorney-in-fact to:</w:t>
      </w:r>
    </w:p>
    <w:p>
      <w:pPr>
        <w:spacing w:after="0" w:line="208" w:lineRule="exact"/>
        <w:rPr>
          <w:sz w:val="20"/>
          <w:szCs w:val="20"/>
          <w:color w:val="auto"/>
        </w:rPr>
      </w:pPr>
    </w:p>
    <w:p>
      <w:pPr>
        <w:jc w:val="both"/>
        <w:ind w:left="1420" w:hanging="655"/>
        <w:spacing w:after="0" w:line="257" w:lineRule="auto"/>
        <w:tabs>
          <w:tab w:leader="none" w:pos="1420" w:val="left"/>
        </w:tabs>
        <w:numPr>
          <w:ilvl w:val="0"/>
          <w:numId w:val="5"/>
        </w:numPr>
        <w:rPr>
          <w:rFonts w:ascii="Arial" w:cs="Arial" w:eastAsia="Arial" w:hAnsi="Arial"/>
          <w:sz w:val="20"/>
          <w:szCs w:val="20"/>
          <w:color w:val="auto"/>
        </w:rPr>
      </w:pPr>
      <w:r>
        <w:rPr>
          <w:rFonts w:ascii="Arial" w:cs="Arial" w:eastAsia="Arial" w:hAnsi="Arial"/>
          <w:sz w:val="20"/>
          <w:szCs w:val="20"/>
          <w:color w:val="auto"/>
        </w:rPr>
        <w:t>prepare, execute in the undersigned’s name and on the undersigned’s behalf, and submit to the United States Securities and Exchange Commission (the “</w:t>
      </w:r>
      <w:r>
        <w:rPr>
          <w:rFonts w:ascii="Arial" w:cs="Arial" w:eastAsia="Arial" w:hAnsi="Arial"/>
          <w:sz w:val="20"/>
          <w:szCs w:val="20"/>
          <w:b w:val="1"/>
          <w:bCs w:val="1"/>
          <w:i w:val="1"/>
          <w:iCs w:val="1"/>
          <w:color w:val="auto"/>
        </w:rPr>
        <w:t>SEC</w:t>
      </w:r>
      <w:r>
        <w:rPr>
          <w:rFonts w:ascii="Arial" w:cs="Arial" w:eastAsia="Arial" w:hAnsi="Arial"/>
          <w:sz w:val="20"/>
          <w:szCs w:val="20"/>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09" w:lineRule="exact"/>
        <w:rPr>
          <w:rFonts w:ascii="Arial" w:cs="Arial" w:eastAsia="Arial" w:hAnsi="Arial"/>
          <w:sz w:val="20"/>
          <w:szCs w:val="20"/>
          <w:color w:val="auto"/>
        </w:rPr>
      </w:pPr>
    </w:p>
    <w:p>
      <w:pPr>
        <w:ind w:left="1420" w:hanging="655"/>
        <w:spacing w:after="0" w:line="277" w:lineRule="auto"/>
        <w:tabs>
          <w:tab w:leader="none" w:pos="1420"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Forms 3, 4, and 5 in accordance with Section 16 of the Securities Exchange Act of 1934, as amended, and the rules thereunder;</w:t>
      </w:r>
    </w:p>
    <w:p>
      <w:pPr>
        <w:spacing w:after="0" w:line="189" w:lineRule="exact"/>
        <w:rPr>
          <w:rFonts w:ascii="Arial" w:cs="Arial" w:eastAsia="Arial" w:hAnsi="Arial"/>
          <w:sz w:val="20"/>
          <w:szCs w:val="20"/>
          <w:color w:val="auto"/>
        </w:rPr>
      </w:pPr>
    </w:p>
    <w:p>
      <w:pPr>
        <w:jc w:val="both"/>
        <w:ind w:left="1420" w:hanging="655"/>
        <w:spacing w:after="0" w:line="264" w:lineRule="auto"/>
        <w:tabs>
          <w:tab w:leader="none" w:pos="1420"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1" w:lineRule="exact"/>
        <w:rPr>
          <w:rFonts w:ascii="Arial" w:cs="Arial" w:eastAsia="Arial" w:hAnsi="Arial"/>
          <w:sz w:val="20"/>
          <w:szCs w:val="20"/>
          <w:color w:val="auto"/>
        </w:rPr>
      </w:pPr>
    </w:p>
    <w:p>
      <w:pPr>
        <w:jc w:val="both"/>
        <w:ind w:left="1420" w:hanging="655"/>
        <w:spacing w:after="0" w:line="257" w:lineRule="auto"/>
        <w:tabs>
          <w:tab w:leader="none" w:pos="1420"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jc w:val="both"/>
        <w:ind w:firstLine="720"/>
        <w:spacing w:after="0" w:line="274"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93"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2"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Opendoor, (b) revocation by the undersigned in a signed writing delivered to the foregoing attorneys-in-fact or (c) as to any attorney-in-fact individually, until such attorney-in-fact is no longer an employee of Opendoor.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89"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 xml:space="preserve">IN WITNESS WHEREOF, the undersigned has caused this Power of Attorney to be executed as of December </w:t>
      </w:r>
      <w:r>
        <w:rPr>
          <w:rFonts w:ascii="Arial" w:cs="Arial" w:eastAsia="Arial" w:hAnsi="Arial"/>
          <w:sz w:val="18"/>
          <w:szCs w:val="18"/>
          <w:u w:val="single" w:color="auto"/>
          <w:color w:val="auto"/>
        </w:rPr>
        <w:t>12</w:t>
      </w:r>
      <w:r>
        <w:rPr>
          <w:rFonts w:ascii="Arial" w:cs="Arial" w:eastAsia="Arial" w:hAnsi="Arial"/>
          <w:sz w:val="18"/>
          <w:szCs w:val="18"/>
          <w:color w:val="auto"/>
        </w:rPr>
        <w:t>, 2020.</w:t>
      </w:r>
    </w:p>
    <w:p>
      <w:pPr>
        <w:spacing w:after="0" w:line="273"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Eric Chung-Wei Wu</w:t>
      </w:r>
    </w:p>
    <w:p>
      <w:pPr>
        <w:spacing w:after="0" w:line="250" w:lineRule="exact"/>
        <w:rPr>
          <w:sz w:val="20"/>
          <w:szCs w:val="20"/>
          <w:color w:val="auto"/>
        </w:rPr>
      </w:pPr>
    </w:p>
    <w:p>
      <w:pPr>
        <w:ind w:left="4980"/>
        <w:spacing w:after="0"/>
        <w:tabs>
          <w:tab w:leader="none" w:pos="594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18"/>
          <w:szCs w:val="18"/>
          <w:color w:val="auto"/>
        </w:rPr>
        <w:t>/s/ Eric Chung-Wei Wu</w:t>
      </w:r>
    </w:p>
    <w:p>
      <w:pPr>
        <w:spacing w:after="0" w:line="2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Print Name:Eric Chung-Wei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3783330</wp:posOffset>
            </wp:positionH>
            <wp:positionV relativeFrom="paragraph">
              <wp:posOffset>-145415</wp:posOffset>
            </wp:positionV>
            <wp:extent cx="270637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06370" cy="9525"/>
                    </a:xfrm>
                    <a:prstGeom prst="rect">
                      <a:avLst/>
                    </a:prstGeom>
                    <a:noFill/>
                  </pic:spPr>
                </pic:pic>
              </a:graphicData>
            </a:graphic>
          </wp:anchor>
        </w:drawing>
      </w:r>
    </w:p>
    <w:p>
      <w:pPr>
        <w:spacing w:after="0" w:line="5"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Print Title: Director and CEO</w:t>
      </w: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16510</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9600"/>
          </w:cols>
          <w:pgMar w:left="1200" w:top="994" w:right="1099" w:bottom="1440" w:gutter="0" w:footer="0" w:header="0"/>
        </w:sectPr>
      </w:pPr>
    </w:p>
    <w:bookmarkStart w:id="3" w:name="page4"/>
    <w:bookmarkEnd w:id="3"/>
    <w:p>
      <w:pPr>
        <w:jc w:val="center"/>
        <w:ind w:right="-960"/>
        <w:spacing w:after="0"/>
        <w:rPr>
          <w:sz w:val="20"/>
          <w:szCs w:val="20"/>
          <w:color w:val="auto"/>
        </w:rPr>
      </w:pPr>
      <w:r>
        <w:rPr>
          <w:rFonts w:ascii="Arial" w:cs="Arial" w:eastAsia="Arial" w:hAnsi="Arial"/>
          <w:sz w:val="20"/>
          <w:szCs w:val="20"/>
          <w:b w:val="1"/>
          <w:bCs w:val="1"/>
          <w:u w:val="single" w:color="auto"/>
          <w:color w:val="auto"/>
        </w:rPr>
        <w:t>Schedule A</w:t>
      </w:r>
    </w:p>
    <w:p>
      <w:pPr>
        <w:spacing w:after="0" w:line="254" w:lineRule="exact"/>
        <w:rPr>
          <w:sz w:val="20"/>
          <w:szCs w:val="20"/>
          <w:color w:val="auto"/>
        </w:rPr>
      </w:pPr>
    </w:p>
    <w:p>
      <w:pPr>
        <w:jc w:val="right"/>
        <w:ind w:right="739"/>
        <w:spacing w:after="0"/>
        <w:rPr>
          <w:sz w:val="20"/>
          <w:szCs w:val="20"/>
          <w:color w:val="auto"/>
        </w:rPr>
      </w:pPr>
      <w:r>
        <w:rPr>
          <w:rFonts w:ascii="Arial" w:cs="Arial" w:eastAsia="Arial" w:hAnsi="Arial"/>
          <w:sz w:val="20"/>
          <w:szCs w:val="20"/>
          <w:color w:val="auto"/>
        </w:rPr>
        <w:t>Individuals Appointed as Attorney-in-Fact with Full Power of Substitution and Resubstitution</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Elizabeth Stevens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Vanessa C. Gage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Carrie Wheeler</w:t>
      </w:r>
    </w:p>
    <w:p>
      <w:pPr>
        <w:spacing w:after="0" w:line="200" w:lineRule="exact"/>
        <w:rPr>
          <w:sz w:val="20"/>
          <w:szCs w:val="20"/>
          <w:color w:val="auto"/>
        </w:rPr>
      </w:pPr>
    </w:p>
    <w:p>
      <w:pPr>
        <w:spacing w:after="0" w:line="30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694690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9979"/>
      </w:cols>
      <w:pgMar w:left="480" w:top="9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836811" TargetMode="External"/><Relationship Id="rId11" Type="http://schemas.openxmlformats.org/officeDocument/2006/relationships/hyperlink" Target="http://www.sec.gov/cgi-bin/browse-edgar?action=getcompany&amp;CIK=0001801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2020-12-22T17:05:41Z</dcterms:created>
  <dcterms:modified xsi:type="dcterms:W3CDTF">2020-12-22T17:05:41Z</dcterms:modified>
</cp:coreProperties>
</file>