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Opendoor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683712103</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683712103</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 E. Shaw &amp; Co.,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20,852,226.00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20,852,226.00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20,852,226.00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figure reported is based upon 958,504,891 shares of common stock outstanding, composed of: (i) 953,788,119 shares of common stock outstanding as of November 18, 2025, as reported in the Issuer's Form 424B5, filed with the SEC on November 21, 2025, (ii) 4,216,597 shares of common stock issuable upon exercise of warrants, and (iii) 500,175 shares of common stock issuable upon exercise of warrants deliverable upon exercise of listed call options.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683712103</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 E. Shaw &amp; Co.,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20,527,881.00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20,527,881.00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20,527,881.00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figure reported is based upon 958,504,891 shares of common stock outstanding, composed of: (i) 953,788,119 shares of common stock outstanding as of November 18, 2025, as reported in the Issuer's Form 424B5, filed with the SEC on November 21, 2025, (ii) 4,216,597 shares of common stock issuable upon exercise of warrants, and (iii) 500,175 shares of common stock issuable upon exercise of warrants deliverable upon exercise of listed call options.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683712103</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 E. Shaw Valence Portfolios,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14,636,666.00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14,636,666.00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14,636,666.00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figure reported is based upon 957,776,189 shares of common stock outstanding, composed of: (i) 953,788,119 shares of common stock outstanding as of November 18, 2025, as reported in the Issuer's Form 424B5, filed with the SEC on November 21, 2025, (ii) 3,487,895 shares of common stock issuable upon exercise of warrants, and (iii) 500,175 shares of common stock issuable upon exercise of warrants deliverable upon exercise of listed call options.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683712103</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 E. Shaw</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20,852,226.00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20,852,226.00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20,852,226.00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figure reported is based upon 958,504,891 shares of common stock outstanding, composed of: (i) 953,788,119 shares of common stock outstanding as of November 18, 2025, as reported in the Issuer's Form 424B5, filed with the SEC on November 21, 2025, (ii) 4,216,597 shares of common stock issuable upon exercise of warrants, and (iii) 500,175 shares of common stock issuable upon exercise of warrants deliverable upon exercise of listed call options.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72"/>
        <w:gridCol w:w="8878"/>
        <w:gridCol w:w="155"/>
      </w:tblGrid>
      <w:tr>
        <w:trPr/>
        <w:tc>
          <w:tcPr>
            <w:tcW w:w="1172" w:type="dxa"/>
            <w:tcBorders/>
            <w:vAlign w:val="center"/>
          </w:tcPr>
          <w:p>
            <w:pPr>
              <w:pStyle w:val="TableContents"/>
              <w:bidi w:val="0"/>
              <w:spacing w:before="0" w:after="283"/>
              <w:jc w:val="left"/>
              <w:rPr/>
            </w:pPr>
            <w:r>
              <w:rPr/>
              <w:t>Item 1.</w:t>
            </w:r>
          </w:p>
        </w:tc>
        <w:tc>
          <w:tcPr>
            <w:tcW w:w="887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(a)</w:t>
            </w:r>
          </w:p>
        </w:tc>
        <w:tc>
          <w:tcPr>
            <w:tcW w:w="8878" w:type="dxa"/>
            <w:tcBorders/>
            <w:vAlign w:val="center"/>
          </w:tcPr>
          <w:p>
            <w:pPr>
              <w:pStyle w:val="TableContents"/>
              <w:bidi w:val="0"/>
              <w:jc w:val="left"/>
              <w:rPr/>
            </w:pPr>
            <w:r>
              <w:rPr/>
              <w:t xml:space="preserve">Name of issuer: </w:t>
            </w:r>
          </w:p>
          <w:p>
            <w:pPr>
              <w:pStyle w:val="TableContents"/>
              <w:bidi w:val="0"/>
              <w:spacing w:before="0" w:after="0"/>
              <w:jc w:val="left"/>
              <w:rPr/>
            </w:pPr>
            <w:r>
              <w:rPr/>
              <w:t>Opendoor Technologies Inc.</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(b)</w:t>
            </w:r>
          </w:p>
        </w:tc>
        <w:tc>
          <w:tcPr>
            <w:tcW w:w="887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1295 West Washington Street, Suite 115, Tempe, AZ 85288</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Item 2.</w:t>
            </w:r>
          </w:p>
        </w:tc>
        <w:tc>
          <w:tcPr>
            <w:tcW w:w="887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(a)</w:t>
            </w:r>
          </w:p>
        </w:tc>
        <w:tc>
          <w:tcPr>
            <w:tcW w:w="887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 E. Shaw &amp; Co., L.P. D. E. Shaw &amp; Co., L.L.C. D. E. Shaw Valence Portfolios, L.L.C. David E. Shaw</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(b)</w:t>
            </w:r>
          </w:p>
        </w:tc>
        <w:tc>
          <w:tcPr>
            <w:tcW w:w="887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business address for each reporting person is: Two Manhattan West 375 Ninth Avenue, 52nd Floor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(c)</w:t>
            </w:r>
          </w:p>
        </w:tc>
        <w:tc>
          <w:tcPr>
            <w:tcW w:w="8878" w:type="dxa"/>
            <w:tcBorders/>
            <w:vAlign w:val="center"/>
          </w:tcPr>
          <w:p>
            <w:pPr>
              <w:pStyle w:val="TableContents"/>
              <w:bidi w:val="0"/>
              <w:jc w:val="left"/>
              <w:rPr/>
            </w:pPr>
            <w:r>
              <w:rPr/>
              <w:t xml:space="preserve">Citizenship: </w:t>
            </w:r>
          </w:p>
          <w:p>
            <w:pPr>
              <w:pStyle w:val="TableContents"/>
              <w:bidi w:val="0"/>
              <w:spacing w:before="0" w:after="0"/>
              <w:jc w:val="left"/>
              <w:rPr/>
            </w:pPr>
            <w:r>
              <w:rPr/>
              <w:t>D. E. Shaw &amp; Co., L.P. is a limited partnership organized under the laws of the state of Delaware. D. E. Shaw &amp; Co., L.L.C. is a limited liability company organized under the laws of the state of Delaware. D. E. Shaw Valence Portfolios, L.L.C. is a limited liability company organized under the laws of the state of Delaware. David E. Shaw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(d)</w:t>
            </w:r>
          </w:p>
        </w:tc>
        <w:tc>
          <w:tcPr>
            <w:tcW w:w="887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(e)</w:t>
            </w:r>
          </w:p>
        </w:tc>
        <w:tc>
          <w:tcPr>
            <w:tcW w:w="8878" w:type="dxa"/>
            <w:tcBorders/>
            <w:vAlign w:val="center"/>
          </w:tcPr>
          <w:p>
            <w:pPr>
              <w:pStyle w:val="TableContents"/>
              <w:bidi w:val="0"/>
              <w:jc w:val="left"/>
              <w:rPr/>
            </w:pPr>
            <w:r>
              <w:rPr/>
              <w:t xml:space="preserve">CUSIP No.: </w:t>
            </w:r>
          </w:p>
          <w:p>
            <w:pPr>
              <w:pStyle w:val="TableContents"/>
              <w:bidi w:val="0"/>
              <w:spacing w:before="0" w:after="0"/>
              <w:jc w:val="left"/>
              <w:rPr/>
            </w:pPr>
            <w:r>
              <w:rPr/>
              <w:t>683712103</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Item 3.</w:t>
            </w:r>
          </w:p>
        </w:tc>
        <w:tc>
          <w:tcPr>
            <w:tcW w:w="887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(a)</w:t>
            </w:r>
          </w:p>
        </w:tc>
        <w:tc>
          <w:tcPr>
            <w:tcW w:w="887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(b)</w:t>
            </w:r>
          </w:p>
        </w:tc>
        <w:tc>
          <w:tcPr>
            <w:tcW w:w="887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(c)</w:t>
            </w:r>
          </w:p>
        </w:tc>
        <w:tc>
          <w:tcPr>
            <w:tcW w:w="887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(d)</w:t>
            </w:r>
          </w:p>
        </w:tc>
        <w:tc>
          <w:tcPr>
            <w:tcW w:w="887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(e)</w:t>
            </w:r>
          </w:p>
        </w:tc>
        <w:tc>
          <w:tcPr>
            <w:tcW w:w="887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(f)</w:t>
            </w:r>
          </w:p>
        </w:tc>
        <w:tc>
          <w:tcPr>
            <w:tcW w:w="887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(g)</w:t>
            </w:r>
          </w:p>
        </w:tc>
        <w:tc>
          <w:tcPr>
            <w:tcW w:w="887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(h)</w:t>
            </w:r>
          </w:p>
        </w:tc>
        <w:tc>
          <w:tcPr>
            <w:tcW w:w="887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(i)</w:t>
            </w:r>
          </w:p>
        </w:tc>
        <w:tc>
          <w:tcPr>
            <w:tcW w:w="8878"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(j)</w:t>
            </w:r>
          </w:p>
        </w:tc>
        <w:tc>
          <w:tcPr>
            <w:tcW w:w="887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(k)</w:t>
            </w:r>
          </w:p>
        </w:tc>
        <w:tc>
          <w:tcPr>
            <w:tcW w:w="887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 </w:t>
            </w:r>
          </w:p>
        </w:tc>
        <w:tc>
          <w:tcPr>
            <w:tcW w:w="9033" w:type="dxa"/>
            <w:gridSpan w:val="2"/>
            <w:tcBorders/>
            <w:vAlign w:val="center"/>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Item 4.</w:t>
            </w:r>
          </w:p>
        </w:tc>
        <w:tc>
          <w:tcPr>
            <w:tcW w:w="887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(a)</w:t>
            </w:r>
          </w:p>
        </w:tc>
        <w:tc>
          <w:tcPr>
            <w:tcW w:w="887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D. E. Shaw &amp; Co., L.P.: 20,852,226 shares This is composed of (i) 961,096 shares in the name of D. E. Shaw Valence Portfolios, L.L.C., (ii) 9,687,500 shares that D. E. Shaw Valence Portfolios, L.L.C. has the right to acquire through the exercise of call options, (iii) 3,487,895 shares that D. E. Shaw Valence Portfolios, L.L.C. has the right to acquire through the exercise of warrants, (iv) 500,175 shares that D. E. Shaw Valence Portfolios, L.L.C. has the right to acquire through the exercise of warrants deliverable through the exercise of call options, (v) 4,882,290 shares in the name of D. E. Shaw Oculus Portfolios, L.L.C., (vi) 717,078 shares that D. E. Shaw Oculus Portfolios, L.L.C. has the right to acquire through the exercise of warrants, (vii) 280,223 shares in the name of D. E. Shaw Composite Portfolios, L.L.C., (viii) 11,624 shares that D. E. Shaw Composite Portfolios, L.L.C. has the right to acquire through the exercise of warrants, and (ix) 324,345 shares under the management of D. E. Shaw Investment Management, L.L.C. D. E. Shaw &amp; Co., L.L.C.: 20,527,881 shares This is composed of (i) 961,096 shares in the name of D. E. Shaw Valence Portfolios, L.L.C., (ii) 9,687,500 shares that D. E. Shaw Valence Portfolios, L.L.C. has the right to acquire through the exercise of call options, (iii) 3,487,895 shares that D. E. Shaw Valence Portfolios, L.L.C. has the right to acquire through the exercise of warrants, (iv) 500,175 shares that D. E. Shaw Valence Portfolios, L.L.C. has the right to acquire through the exercise of warrants deliverable through the exercise of call options, (v) 4,882,290 shares in the name of D. E. Shaw Oculus Portfolios, L.L.C., (vi) 717,078 shares that D. E. Shaw Oculus Portfolios, L.L.C. has the right to acquire through the exercise of warrants, (vii) 280,223 shares in the name of D. E. Shaw Composite Portfolios, L.L.C., and (viii) 11,624 shares that D. E. Shaw Composite Portfolios, L.L.C. has the right to acquire through the exercise of warrants. D. E. Shaw Valence Portfolios, L.L.C.: 14,636,666 shares This is composed of (i) 961,096 shares in the name of D. E. Shaw Valence Portfolios, L.L.C., (ii) 9,687,500 shares that D. E. Shaw Valence Portfolios, L.L.C. has the right to acquire through the exercise of call options, (iii) 3,487,895 shares that D. E. Shaw Valence Portfolios, L.L.C. has the right to acquire through the exercise of warrants, and (iv) 500,175 shares that D. E. Shaw Valence Portfolios, L.L.C. has the right to acquire through the exercise of warrants deliverable through the exercise of call options. David E. Shaw: 20,852,226 shares This is composed of (i) 961,096 shares in the name of D. E. Shaw Valence Portfolios, L.L.C., (ii) 9,687,500 shares that D. E. Shaw Valence Portfolios, L.L.C. has the right to acquire through the exercise of call options, (iii) 3,487,895 shares that D. E. Shaw Valence Portfolios, L.L.C. has the right to acquire through the exercise of warrants, (iv) 500,175 shares that D. E. Shaw Valence Portfolios, L.L.C. has the right to acquire through the exercise of warrants deliverable through the exercise of call options, (v) 4,882,290 shares in the name of D. E. Shaw Oculus Portfolios, L.L.C., (vi) 717,078 shares that D. E. Shaw Oculus Portfolios, L.L.C. has the right to acquire through the exercise of warrants, (vii) 280,223 shares in the name of D. E. Shaw Composite Portfolios, L.L.C., (viii) 11,624 shares that D. E. Shaw Composite Portfolios, L.L.C. has the right to acquire through the exercise of warrants, and (ix) 324,345 shares under the management of D. E. Shaw Investment Management, L.L.C. David E. Shaw does not own any shares directly. By virtue of David E. Shaw's position as President and sole shareholder of D. E. Shaw &amp; Co., Inc., which is the general partner of D. E. Shaw &amp; Co., L.P., which in turn is the investment adviser of D. E. Shaw Valence Portfolios, L.L.C., D. E. Shaw Oculus Portfolios, L.L.C., and D. E. Shaw Composite Portfolios, L.L.C. and the managing member of D. E. Shaw Investment Management, L.L.C., and by virtue of David E. Shaw's position as President and sole shareholder of D. E. Shaw &amp; Co. II, Inc., which is the managing member of D. E. Shaw &amp; Co., L.L.C., which in turn is the manager of D. E. Shaw Valence Portfolios, L.L.C., D. E. Shaw Oculus Portfolios, L.L.C., and D. E. Shaw Composite Portfolios, L.L.C., David E. Shaw may be deemed to have the shared power to vote or direct the vote of, and the shared power to dispose or direct the disposition of, the 20,852,226 shares as described above constituting 2.2% of the outstanding shares and, therefore, David E. Shaw may be deemed to be the beneficial owner of such shares. David E. Shaw disclaims beneficial ownership of such 20,852,226 shares.</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(b)</w:t>
            </w:r>
          </w:p>
        </w:tc>
        <w:tc>
          <w:tcPr>
            <w:tcW w:w="887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D. E. Shaw &amp; Co., L.P.: 2.2% D. E. Shaw &amp; Co., L.L.C.: 2.1% D. E. Shaw Valence Portfolios, L.L.C.: 1.5% David E. Shaw: 2.2%  %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(c)</w:t>
            </w:r>
          </w:p>
        </w:tc>
        <w:tc>
          <w:tcPr>
            <w:tcW w:w="887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 </w:t>
            </w:r>
          </w:p>
        </w:tc>
        <w:tc>
          <w:tcPr>
            <w:tcW w:w="887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D. E. Shaw &amp; Co., L.P.: 0 shares D. E. Shaw &amp; Co., L.L.C.: 0 shares D. E. Shaw Valence Portfolios, L.L.C.: 0 shares David E. Shaw: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 </w:t>
            </w:r>
          </w:p>
        </w:tc>
        <w:tc>
          <w:tcPr>
            <w:tcW w:w="887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D. E. Shaw &amp; Co., L.P.: 20,852,226 shares D. E. Shaw &amp; Co., L.L.C.: 20,527,881 shares D. E. Shaw Valence Portfolios, L.L.C.: 14,636,666 shares David E. Shaw: 20,852,226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 </w:t>
            </w:r>
          </w:p>
        </w:tc>
        <w:tc>
          <w:tcPr>
            <w:tcW w:w="887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D. E. Shaw &amp; Co., L.P.: 0 shares D. E. Shaw &amp; Co., L.L.C.: 0 shares D. E. Shaw Valence Portfolios, L.L.C.: 0 shares David E. Shaw: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 </w:t>
            </w:r>
          </w:p>
        </w:tc>
        <w:tc>
          <w:tcPr>
            <w:tcW w:w="887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D. E. Shaw &amp; Co., L.P.: 20,852,226 shares D. E. Shaw &amp; Co., L.L.C.: 20,527,881 shares D. E. Shaw Valence Portfolios, L.L.C.: 14,636,666 shares David E. Shaw: 20,852,226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Item 5.</w:t>
            </w:r>
          </w:p>
        </w:tc>
        <w:tc>
          <w:tcPr>
            <w:tcW w:w="887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 </w:t>
            </w:r>
          </w:p>
        </w:tc>
        <w:tc>
          <w:tcPr>
            <w:tcW w:w="8878"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Item 6.</w:t>
            </w:r>
          </w:p>
        </w:tc>
        <w:tc>
          <w:tcPr>
            <w:tcW w:w="887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 </w:t>
            </w:r>
          </w:p>
        </w:tc>
        <w:tc>
          <w:tcPr>
            <w:tcW w:w="88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Item 7.</w:t>
            </w:r>
          </w:p>
        </w:tc>
        <w:tc>
          <w:tcPr>
            <w:tcW w:w="887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 </w:t>
            </w:r>
          </w:p>
        </w:tc>
        <w:tc>
          <w:tcPr>
            <w:tcW w:w="88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Item 8.</w:t>
            </w:r>
          </w:p>
        </w:tc>
        <w:tc>
          <w:tcPr>
            <w:tcW w:w="887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 </w:t>
            </w:r>
          </w:p>
        </w:tc>
        <w:tc>
          <w:tcPr>
            <w:tcW w:w="88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Item 9.</w:t>
            </w:r>
          </w:p>
        </w:tc>
        <w:tc>
          <w:tcPr>
            <w:tcW w:w="887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 </w:t>
            </w:r>
          </w:p>
        </w:tc>
        <w:tc>
          <w:tcPr>
            <w:tcW w:w="88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96" w:type="dxa"/>
        <w:jc w:val="left"/>
        <w:tblInd w:w="0" w:type="dxa"/>
        <w:tblLayout w:type="fixed"/>
        <w:tblCellMar>
          <w:top w:w="28" w:type="dxa"/>
          <w:left w:w="28" w:type="dxa"/>
          <w:bottom w:w="28" w:type="dxa"/>
          <w:right w:w="28" w:type="dxa"/>
        </w:tblCellMar>
      </w:tblPr>
      <w:tblGrid>
        <w:gridCol w:w="2548"/>
        <w:gridCol w:w="2548"/>
      </w:tblGrid>
      <w:tr>
        <w:trPr/>
        <w:tc>
          <w:tcPr>
            <w:tcW w:w="2548" w:type="dxa"/>
            <w:tcBorders/>
            <w:vAlign w:val="center"/>
          </w:tcPr>
          <w:p>
            <w:pPr>
              <w:pStyle w:val="TableContents"/>
              <w:bidi w:val="0"/>
              <w:spacing w:before="0" w:after="0"/>
              <w:jc w:val="left"/>
              <w:rPr/>
            </w:pPr>
            <w:r>
              <w:rPr/>
              <w:t> </w:t>
            </w:r>
          </w:p>
          <w:tbl>
            <w:tblPr>
              <w:tblW w:w="2446" w:type="dxa"/>
              <w:jc w:val="left"/>
              <w:tblInd w:w="0" w:type="dxa"/>
              <w:tblLayout w:type="fixed"/>
              <w:tblCellMar>
                <w:top w:w="28" w:type="dxa"/>
                <w:left w:w="28" w:type="dxa"/>
                <w:bottom w:w="28" w:type="dxa"/>
                <w:right w:w="28" w:type="dxa"/>
              </w:tblCellMar>
            </w:tblPr>
            <w:tblGrid>
              <w:gridCol w:w="2446"/>
            </w:tblGrid>
            <w:tr>
              <w:trPr/>
              <w:tc>
                <w:tcPr>
                  <w:tcW w:w="2446" w:type="dxa"/>
                  <w:tcBorders/>
                  <w:vAlign w:val="center"/>
                </w:tcPr>
                <w:p>
                  <w:pPr>
                    <w:pStyle w:val="TableContents"/>
                    <w:bidi w:val="0"/>
                    <w:spacing w:before="0" w:after="0"/>
                    <w:jc w:val="left"/>
                    <w:rPr/>
                  </w:pPr>
                  <w:r>
                    <w:rPr/>
                    <w:t>D. E. Shaw &amp; Co., L.P.</w:t>
                  </w:r>
                </w:p>
              </w:tc>
            </w:tr>
          </w:tbl>
          <w:p>
            <w:pPr>
              <w:pStyle w:val="TableContents"/>
              <w:bidi w:val="0"/>
              <w:spacing w:before="0" w:after="283"/>
              <w:jc w:val="left"/>
              <w:rPr/>
            </w:pPr>
            <w:r>
              <w:rPr/>
            </w:r>
          </w:p>
        </w:tc>
        <w:tc>
          <w:tcPr>
            <w:tcW w:w="25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Daniel R. Marcus</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Daniel R. Marcus / Chief Compliance Officer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02/17/2026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tbl>
      <w:tblPr>
        <w:tblW w:w="5654" w:type="dxa"/>
        <w:jc w:val="left"/>
        <w:tblInd w:w="0" w:type="dxa"/>
        <w:tblLayout w:type="fixed"/>
        <w:tblCellMar>
          <w:top w:w="28" w:type="dxa"/>
          <w:left w:w="28" w:type="dxa"/>
          <w:bottom w:w="28" w:type="dxa"/>
          <w:right w:w="28" w:type="dxa"/>
        </w:tblCellMar>
      </w:tblPr>
      <w:tblGrid>
        <w:gridCol w:w="2827"/>
        <w:gridCol w:w="2827"/>
      </w:tblGrid>
      <w:tr>
        <w:trPr/>
        <w:tc>
          <w:tcPr>
            <w:tcW w:w="2827" w:type="dxa"/>
            <w:tcBorders/>
            <w:vAlign w:val="center"/>
          </w:tcPr>
          <w:p>
            <w:pPr>
              <w:pStyle w:val="TableContents"/>
              <w:bidi w:val="0"/>
              <w:spacing w:before="0" w:after="0"/>
              <w:jc w:val="left"/>
              <w:rPr/>
            </w:pPr>
            <w:r>
              <w:rPr/>
              <w:t> </w:t>
            </w:r>
          </w:p>
          <w:tbl>
            <w:tblPr>
              <w:tblW w:w="2686" w:type="dxa"/>
              <w:jc w:val="left"/>
              <w:tblInd w:w="0" w:type="dxa"/>
              <w:tblLayout w:type="fixed"/>
              <w:tblCellMar>
                <w:top w:w="28" w:type="dxa"/>
                <w:left w:w="28" w:type="dxa"/>
                <w:bottom w:w="28" w:type="dxa"/>
                <w:right w:w="28" w:type="dxa"/>
              </w:tblCellMar>
            </w:tblPr>
            <w:tblGrid>
              <w:gridCol w:w="2686"/>
            </w:tblGrid>
            <w:tr>
              <w:trPr/>
              <w:tc>
                <w:tcPr>
                  <w:tcW w:w="2686" w:type="dxa"/>
                  <w:tcBorders/>
                  <w:vAlign w:val="center"/>
                </w:tcPr>
                <w:p>
                  <w:pPr>
                    <w:pStyle w:val="TableContents"/>
                    <w:bidi w:val="0"/>
                    <w:spacing w:before="0" w:after="0"/>
                    <w:jc w:val="left"/>
                    <w:rPr/>
                  </w:pPr>
                  <w:r>
                    <w:rPr/>
                    <w:t>D. E. Shaw &amp; Co., L.L.C.</w:t>
                  </w:r>
                </w:p>
              </w:tc>
            </w:tr>
          </w:tbl>
          <w:p>
            <w:pPr>
              <w:pStyle w:val="TableContents"/>
              <w:bidi w:val="0"/>
              <w:spacing w:before="0" w:after="283"/>
              <w:jc w:val="left"/>
              <w:rPr/>
            </w:pPr>
            <w:r>
              <w:rPr/>
            </w:r>
          </w:p>
        </w:tc>
        <w:tc>
          <w:tcPr>
            <w:tcW w:w="28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3"/>
        <w:gridCol w:w="4252"/>
      </w:tblGrid>
      <w:tr>
        <w:trPr/>
        <w:tc>
          <w:tcPr>
            <w:tcW w:w="59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Daniel R. Marcus</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Daniel R. Marcus / Authorized Signatory</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02/17/2026</w:t>
                  </w:r>
                </w:p>
              </w:tc>
            </w:tr>
          </w:tbl>
          <w:p>
            <w:pPr>
              <w:pStyle w:val="TableContents"/>
              <w:bidi w:val="0"/>
              <w:spacing w:before="0" w:after="283"/>
              <w:jc w:val="left"/>
              <w:rPr/>
            </w:pPr>
            <w:r>
              <w:rPr/>
            </w:r>
          </w:p>
        </w:tc>
        <w:tc>
          <w:tcPr>
            <w:tcW w:w="4252" w:type="dxa"/>
            <w:tcBorders/>
            <w:vAlign w:val="center"/>
          </w:tcPr>
          <w:p>
            <w:pPr>
              <w:pStyle w:val="TableContents"/>
              <w:bidi w:val="0"/>
              <w:spacing w:before="0" w:after="283"/>
              <w:jc w:val="left"/>
              <w:rPr>
                <w:sz w:val="4"/>
                <w:szCs w:val="4"/>
              </w:rPr>
            </w:pPr>
            <w:r>
              <w:rPr>
                <w:sz w:val="4"/>
                <w:szCs w:val="4"/>
              </w:rPr>
            </w:r>
          </w:p>
        </w:tc>
      </w:tr>
    </w:tbl>
    <w:tbl>
      <w:tblPr>
        <w:tblW w:w="8060" w:type="dxa"/>
        <w:jc w:val="left"/>
        <w:tblInd w:w="0" w:type="dxa"/>
        <w:tblLayout w:type="fixed"/>
        <w:tblCellMar>
          <w:top w:w="28" w:type="dxa"/>
          <w:left w:w="28" w:type="dxa"/>
          <w:bottom w:w="28" w:type="dxa"/>
          <w:right w:w="28" w:type="dxa"/>
        </w:tblCellMar>
      </w:tblPr>
      <w:tblGrid>
        <w:gridCol w:w="4030"/>
        <w:gridCol w:w="4030"/>
      </w:tblGrid>
      <w:tr>
        <w:trPr/>
        <w:tc>
          <w:tcPr>
            <w:tcW w:w="4030" w:type="dxa"/>
            <w:tcBorders/>
            <w:vAlign w:val="center"/>
          </w:tcPr>
          <w:p>
            <w:pPr>
              <w:pStyle w:val="TableContents"/>
              <w:bidi w:val="0"/>
              <w:spacing w:before="0" w:after="0"/>
              <w:jc w:val="left"/>
              <w:rPr/>
            </w:pPr>
            <w:r>
              <w:rPr/>
              <w:t> </w:t>
            </w:r>
          </w:p>
          <w:tbl>
            <w:tblPr>
              <w:tblW w:w="3856" w:type="dxa"/>
              <w:jc w:val="left"/>
              <w:tblInd w:w="0" w:type="dxa"/>
              <w:tblLayout w:type="fixed"/>
              <w:tblCellMar>
                <w:top w:w="28" w:type="dxa"/>
                <w:left w:w="28" w:type="dxa"/>
                <w:bottom w:w="28" w:type="dxa"/>
                <w:right w:w="28" w:type="dxa"/>
              </w:tblCellMar>
            </w:tblPr>
            <w:tblGrid>
              <w:gridCol w:w="3856"/>
            </w:tblGrid>
            <w:tr>
              <w:trPr/>
              <w:tc>
                <w:tcPr>
                  <w:tcW w:w="3856" w:type="dxa"/>
                  <w:tcBorders/>
                  <w:vAlign w:val="center"/>
                </w:tcPr>
                <w:p>
                  <w:pPr>
                    <w:pStyle w:val="TableContents"/>
                    <w:bidi w:val="0"/>
                    <w:spacing w:before="0" w:after="0"/>
                    <w:jc w:val="left"/>
                    <w:rPr/>
                  </w:pPr>
                  <w:r>
                    <w:rPr/>
                    <w:t>D. E. Shaw Valence Portfolios, L.L.C.</w:t>
                  </w:r>
                </w:p>
              </w:tc>
            </w:tr>
          </w:tbl>
          <w:p>
            <w:pPr>
              <w:pStyle w:val="TableContents"/>
              <w:bidi w:val="0"/>
              <w:spacing w:before="0" w:after="283"/>
              <w:jc w:val="left"/>
              <w:rPr/>
            </w:pPr>
            <w:r>
              <w:rPr/>
            </w:r>
          </w:p>
        </w:tc>
        <w:tc>
          <w:tcPr>
            <w:tcW w:w="40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3"/>
        <w:gridCol w:w="4252"/>
      </w:tblGrid>
      <w:tr>
        <w:trPr/>
        <w:tc>
          <w:tcPr>
            <w:tcW w:w="59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Daniel R. Marcus</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Daniel R. Marcus / Authorized Signatory</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02/17/2026</w:t>
                  </w:r>
                </w:p>
              </w:tc>
            </w:tr>
          </w:tbl>
          <w:p>
            <w:pPr>
              <w:pStyle w:val="TableContents"/>
              <w:bidi w:val="0"/>
              <w:spacing w:before="0" w:after="283"/>
              <w:jc w:val="left"/>
              <w:rPr/>
            </w:pPr>
            <w:r>
              <w:rPr/>
            </w:r>
          </w:p>
        </w:tc>
        <w:tc>
          <w:tcPr>
            <w:tcW w:w="4252"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David E. Shaw</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67"/>
        <w:gridCol w:w="4038"/>
      </w:tblGrid>
      <w:tr>
        <w:trPr/>
        <w:tc>
          <w:tcPr>
            <w:tcW w:w="61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Daniel R. Marcus</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Daniel R. Marcus / Attorney-in-Fact for David E. Shaw</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02/17/2026</w:t>
                  </w:r>
                </w:p>
              </w:tc>
            </w:tr>
          </w:tbl>
          <w:p>
            <w:pPr>
              <w:pStyle w:val="TableContents"/>
              <w:bidi w:val="0"/>
              <w:spacing w:before="0" w:after="283"/>
              <w:jc w:val="left"/>
              <w:rPr/>
            </w:pPr>
            <w:r>
              <w:rPr/>
            </w:r>
          </w:p>
        </w:tc>
        <w:tc>
          <w:tcPr>
            <w:tcW w:w="40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Exhibit 1: Power of Attorney, granted by David E. Shaw relating to D. E. Shaw &amp; Co., Inc., in favor of the signatories hereto, among others, dated August 1, 2024. Exhibit 2: Power of Attorney, granted by David E. Shaw relating to D. E. Shaw &amp; Co. II, Inc., in favor of the signatories hereto, among others, dated August 1, 2024.</w:t>
      </w:r>
    </w:p>
    <w:tbl>
      <w:tblPr>
        <w:tblW w:w="9451" w:type="dxa"/>
        <w:jc w:val="left"/>
        <w:tblInd w:w="0" w:type="dxa"/>
        <w:tblLayout w:type="fixed"/>
        <w:tblCellMar>
          <w:top w:w="28" w:type="dxa"/>
          <w:left w:w="28" w:type="dxa"/>
          <w:bottom w:w="28" w:type="dxa"/>
          <w:right w:w="28" w:type="dxa"/>
        </w:tblCellMar>
      </w:tblPr>
      <w:tblGrid>
        <w:gridCol w:w="9451"/>
      </w:tblGrid>
      <w:tr>
        <w:trPr/>
        <w:tc>
          <w:tcPr>
            <w:tcW w:w="9451" w:type="dxa"/>
            <w:tcBorders/>
            <w:vAlign w:val="center"/>
          </w:tcPr>
          <w:p>
            <w:pPr>
              <w:pStyle w:val="TableContents"/>
              <w:bidi w:val="0"/>
              <w:spacing w:before="0" w:after="283"/>
              <w:jc w:val="center"/>
              <w:rPr>
                <w:b/>
              </w:rPr>
            </w:pPr>
            <w:r>
              <w:rPr>
                <w:b/>
              </w:rPr>
              <w:t xml:space="preserve">Exhibit Information </w:t>
            </w:r>
          </w:p>
        </w:tc>
      </w:tr>
      <w:tr>
        <w:trPr/>
        <w:tc>
          <w:tcPr>
            <w:tcW w:w="9451" w:type="dxa"/>
            <w:tcBorders/>
            <w:vAlign w:val="center"/>
          </w:tcPr>
          <w:p>
            <w:pPr>
              <w:pStyle w:val="TableContents"/>
              <w:bidi w:val="0"/>
              <w:spacing w:before="0" w:after="283"/>
              <w:jc w:val="left"/>
              <w:rPr/>
            </w:pPr>
            <w:r>
              <w:rPr/>
              <w:t>Exhibit 3: Joint Filing Agreement, by and among the Reporting Persons, dated February 17, 2026.</w:t>
            </w:r>
          </w:p>
        </w:tc>
      </w:tr>
    </w:tbl>
    <w:p>
      <w:pPr>
        <w:pStyle w:val="TextBody"/>
        <w:bidi w:val="0"/>
        <w:spacing w:before="0" w:after="0"/>
        <w:ind w:left="0" w:right="0" w:hanging="0"/>
        <w:jc w:val="center"/>
        <w:rPr>
          <w:caps w:val="false"/>
          <w:smallCaps w:val="false"/>
        </w:rPr>
      </w:pPr>
      <w:bookmarkStart w:id="28" w:name="tm263750d6_ex1.htm"/>
      <w:bookmarkStart w:id="29" w:name="kstm263750d6_ex1"/>
      <w:bookmarkEnd w:id="28"/>
      <w:bookmarkEnd w:id="29"/>
      <w:r>
        <w:rPr>
          <w:caps w:val="false"/>
          <w:smallCaps w:val="false"/>
        </w:rPr>
        <w:t> </w:t>
      </w:r>
      <w:r>
        <w:br w:type="page"/>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OF ATTORNEY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CERTAIN REGULATORY FILINGS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CERTAIN FILINGS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INVESTMENT ADVISERS ACT OF 1940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David E. Shaw, hereby make, constitute, and appoint each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Deaton,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 Dinning,</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Edward Fishman,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Alexis Halaby,</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Edwin Jager,</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Lebwohl,</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Marcus,</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Anoop Prasad,</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Maximilian Stone, and</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Sweet,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individually in such person’s capacity as an employee of D. E. Shaw &amp; Co., L.P. or one of its subsidiaries, as my agent and attorney-in-fact, with full power of substitution, for the purpose of, from time to time, (i) executing in my name, in my capacity as President of D. E. Shaw &amp; Co., Inc. (acting for itself or as the general partner of D. E. Shaw &amp; Co., L.P. and general partner, managing member, or manager of other entities, any of which in turn may be acting for itself or other entities), all documents, certificates, instruments, statements, other filings, and amendments to the foregoing (collectively, “documents”) determined by such person to be necessary or appropriate to comply with any registration or regulatory disclosure requirements and/or ownership or control-person reporting requirements imposed by any U.S. or non-U.S. governmental or regulatory authority, including without limitation Form ADV, Forms 3, 4, 5, and 13F, and Schedules 13D and 13G required to be filed with the U.S. Securities and Exchange Commission, and/or (ii) delivering, furnishing, or filing, in each case whether themself or through their designee, any such documents to or with the appropriate governmental or regulatory authority.  Any such determination shall be conclusively evidenced by such person’s execution of, and/or their (or their designee’s) delivery, furnishing, and/or filing of, the applicable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be valid as of the date set forth below and replaces the power granted on March 1, 2017, which is hereby cancelled.  Furthermore, this power of attorney shall be valid with respect to any particular individual set forth above only for so long as such person remains employed by D. E. Shaw &amp; Co., L.P. or one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HEREOF, I have executed this instrument as of the date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E. Shaw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E. Shaw,</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President of D. E. Shaw &amp; Co.,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0" w:name="tm263750d6_ex2.htm"/>
      <w:bookmarkStart w:id="31" w:name="kstm263750d6_ex2"/>
      <w:bookmarkEnd w:id="30"/>
      <w:bookmarkEnd w:id="31"/>
      <w:r>
        <w:rPr>
          <w:caps w:val="false"/>
          <w:smallCaps w:val="false"/>
        </w:rPr>
        <w:t> </w:t>
      </w:r>
      <w:r>
        <w:br w:type="page"/>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OF ATTORNEY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CERTAIN REGULATORY FILINGS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CERTAIN FILINGS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INVESTMENT ADVISERS ACT OF 1940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David E. Shaw, hereby make, constitute, and appoint each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Deaton,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 Dinning,</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Edward Fishman,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Alexis Halaby,</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Edwin Jager,</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Lebwohl,</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Marcus,</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Anoop Prasad,</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Maximilian Stone, and</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Sweet,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individually in such person’s capacity as an employee of D. E. Shaw &amp; Co., L.P. or one of its subsidiaries, as my agent and attorney-in-fact, with full power of substitution, for the purpose of, from time to time, (i) executing in my name, in my capacity as President of D. E. Shaw &amp; Co. II, Inc. (acting for itself or as the managing member of D. E. Shaw &amp; Co., L.L.C. and general partner, managing member, or manager of other entities, any of which in turn may be acting for itself or other entities), all documents, certificates, instruments, statements, other filings, and amendments to the foregoing (collectively, “documents”) determined by such person to be necessary or appropriate to comply with any registration or regulatory disclosure requirements and/or ownership or control-person reporting requirements imposed by any U.S. or non-U.S. governmental or regulatory authority, including without limitation Form ADV, Forms 3, 4, 5, and 13F, and Schedules 13D and 13G required to be filed with the U.S. Securities and Exchange Commission, and/or (ii) delivering, furnishing, or filing, in each case whether themself or through their designee, any such documents to or with the appropriate governmental or regulatory authority.  Any such determination shall be conclusively evidenced by such person’s execution of, and/or their (or their designee’s) delivery, furnishing, and/or filing of, the applicable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be valid as of the date set forth below and replaces the power granted on March 1, 2017, which is hereby cancelled.  Furthermore, this power of attorney shall be valid with respect to any particular individual set forth above only for so long as such person remains employed by D. E. Shaw &amp; Co., L.P. or one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HEREOF, I have executed this instrument as of the date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E. Shaw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E. Shaw,</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President of D. E. Shaw &amp; Co. II,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32" w:name="tm263750d6_ex3.htm"/>
      <w:bookmarkStart w:id="33" w:name="kstm263750d6_ex3"/>
      <w:bookmarkEnd w:id="32"/>
      <w:bookmarkEnd w:id="33"/>
      <w:r>
        <w:rPr>
          <w:caps w:val="false"/>
          <w:smallCaps w:val="false"/>
        </w:rPr>
        <w:t> </w:t>
      </w:r>
      <w:r>
        <w:br w:type="page"/>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 under the Securities Exchange Act of 1934, as amended, each of the undersigned Reporting Persons hereby agrees to the joint filing, along with all other such Reporting Persons, on behalf of each of them of a statement on Schedule 13G (including amendments thereto) with respect to the common stock, $0.0001 par value per share, of Opendoor Technologies Inc., and that this Agreement be included as an Exhibit to such joint filing. This Agreement may be executed in any number of counterparts, all of which taken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undersigned hereby executes this Agreement as of this 17th day of February,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75"/>
        <w:gridCol w:w="320"/>
        <w:gridCol w:w="2120"/>
      </w:tblGrid>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sz w:val="20"/>
              </w:rPr>
            </w:pPr>
            <w:r>
              <w:rPr>
                <w:sz w:val="20"/>
              </w:rPr>
              <w:t>D. E. Shaw &amp; Co., L.P.</w:t>
            </w:r>
          </w:p>
        </w:tc>
      </w:tr>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120" w:type="dxa"/>
            <w:tcBorders/>
            <w:vAlign w:val="center"/>
          </w:tcPr>
          <w:p>
            <w:pPr>
              <w:pStyle w:val="TableContents"/>
              <w:bidi w:val="0"/>
              <w:spacing w:before="0" w:after="283"/>
              <w:jc w:val="left"/>
              <w:rPr>
                <w:sz w:val="20"/>
                <w:u w:val="single"/>
              </w:rPr>
            </w:pPr>
            <w:r>
              <w:rPr>
                <w:sz w:val="20"/>
                <w:u w:val="single"/>
              </w:rPr>
              <w:t>/s/ 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sz w:val="20"/>
              </w:rPr>
            </w:pPr>
            <w:r>
              <w:rPr>
                <w:sz w:val="20"/>
              </w:rPr>
              <w:t>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sz w:val="20"/>
              </w:rPr>
            </w:pPr>
            <w:r>
              <w:rPr>
                <w:sz w:val="20"/>
              </w:rPr>
              <w:t>Chief Compliance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75"/>
        <w:gridCol w:w="320"/>
        <w:gridCol w:w="1790"/>
      </w:tblGrid>
      <w:tr>
        <w:trPr/>
        <w:tc>
          <w:tcPr>
            <w:tcW w:w="75" w:type="dxa"/>
            <w:tcBorders/>
            <w:vAlign w:val="center"/>
          </w:tcPr>
          <w:p>
            <w:pPr>
              <w:pStyle w:val="TableContents"/>
              <w:bidi w:val="0"/>
              <w:spacing w:before="0" w:after="283"/>
              <w:jc w:val="left"/>
              <w:rPr/>
            </w:pPr>
            <w:r>
              <w:rPr/>
              <w:t> </w:t>
            </w:r>
          </w:p>
        </w:tc>
        <w:tc>
          <w:tcPr>
            <w:tcW w:w="2110" w:type="dxa"/>
            <w:gridSpan w:val="2"/>
            <w:tcBorders/>
            <w:vAlign w:val="center"/>
          </w:tcPr>
          <w:p>
            <w:pPr>
              <w:pStyle w:val="TableContents"/>
              <w:bidi w:val="0"/>
              <w:spacing w:before="0" w:after="283"/>
              <w:jc w:val="left"/>
              <w:rPr>
                <w:sz w:val="20"/>
              </w:rPr>
            </w:pPr>
            <w:r>
              <w:rPr>
                <w:sz w:val="20"/>
              </w:rPr>
              <w:t>D. E. Shaw &amp; Co., L.L.C.</w:t>
            </w:r>
          </w:p>
        </w:tc>
      </w:tr>
      <w:tr>
        <w:trPr/>
        <w:tc>
          <w:tcPr>
            <w:tcW w:w="75" w:type="dxa"/>
            <w:tcBorders/>
            <w:vAlign w:val="center"/>
          </w:tcPr>
          <w:p>
            <w:pPr>
              <w:pStyle w:val="TableContents"/>
              <w:bidi w:val="0"/>
              <w:spacing w:before="0" w:after="283"/>
              <w:jc w:val="left"/>
              <w:rPr/>
            </w:pPr>
            <w:r>
              <w:rPr/>
              <w:t> </w:t>
            </w:r>
          </w:p>
        </w:tc>
        <w:tc>
          <w:tcPr>
            <w:tcW w:w="21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1790" w:type="dxa"/>
            <w:tcBorders/>
            <w:vAlign w:val="center"/>
          </w:tcPr>
          <w:p>
            <w:pPr>
              <w:pStyle w:val="TableContents"/>
              <w:bidi w:val="0"/>
              <w:spacing w:before="0" w:after="283"/>
              <w:jc w:val="left"/>
              <w:rPr>
                <w:sz w:val="20"/>
                <w:u w:val="single"/>
              </w:rPr>
            </w:pPr>
            <w:r>
              <w:rPr>
                <w:sz w:val="20"/>
                <w:u w:val="single"/>
              </w:rPr>
              <w:t>/s/ 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20"/>
              </w:rPr>
            </w:pPr>
            <w:r>
              <w:rPr>
                <w:sz w:val="20"/>
              </w:rPr>
              <w:t>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20"/>
              </w:rPr>
            </w:pPr>
            <w:r>
              <w:rPr>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124" w:type="dxa"/>
        <w:jc w:val="left"/>
        <w:tblInd w:w="0" w:type="dxa"/>
        <w:tblLayout w:type="fixed"/>
        <w:tblCellMar>
          <w:top w:w="0" w:type="dxa"/>
          <w:left w:w="0" w:type="dxa"/>
          <w:bottom w:w="0" w:type="dxa"/>
          <w:right w:w="0" w:type="dxa"/>
        </w:tblCellMar>
      </w:tblPr>
      <w:tblGrid>
        <w:gridCol w:w="75"/>
        <w:gridCol w:w="462"/>
        <w:gridCol w:w="2587"/>
      </w:tblGrid>
      <w:tr>
        <w:trPr/>
        <w:tc>
          <w:tcPr>
            <w:tcW w:w="75"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before="0" w:after="283"/>
              <w:jc w:val="left"/>
              <w:rPr>
                <w:sz w:val="20"/>
              </w:rPr>
            </w:pPr>
            <w:r>
              <w:rPr>
                <w:sz w:val="20"/>
              </w:rPr>
              <w:t>D. E. Shaw Valence Portfolios, L.L.C.</w:t>
            </w:r>
          </w:p>
        </w:tc>
      </w:tr>
      <w:tr>
        <w:trPr/>
        <w:tc>
          <w:tcPr>
            <w:tcW w:w="75"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sz w:val="20"/>
              </w:rPr>
            </w:pPr>
            <w:r>
              <w:rPr>
                <w:sz w:val="20"/>
              </w:rPr>
              <w:t>By:</w:t>
            </w:r>
          </w:p>
        </w:tc>
        <w:tc>
          <w:tcPr>
            <w:tcW w:w="2587" w:type="dxa"/>
            <w:tcBorders/>
            <w:vAlign w:val="center"/>
          </w:tcPr>
          <w:p>
            <w:pPr>
              <w:pStyle w:val="TableContents"/>
              <w:bidi w:val="0"/>
              <w:spacing w:before="0" w:after="283"/>
              <w:jc w:val="left"/>
              <w:rPr>
                <w:sz w:val="20"/>
                <w:u w:val="single"/>
              </w:rPr>
            </w:pPr>
            <w:r>
              <w:rPr>
                <w:sz w:val="20"/>
                <w:u w:val="single"/>
              </w:rPr>
              <w:t>/s/ Daniel R. Marcus</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pPr>
            <w:r>
              <w:rPr/>
              <w:t> </w:t>
            </w:r>
          </w:p>
        </w:tc>
        <w:tc>
          <w:tcPr>
            <w:tcW w:w="2587" w:type="dxa"/>
            <w:tcBorders/>
            <w:vAlign w:val="center"/>
          </w:tcPr>
          <w:p>
            <w:pPr>
              <w:pStyle w:val="TableContents"/>
              <w:bidi w:val="0"/>
              <w:spacing w:before="0" w:after="283"/>
              <w:jc w:val="left"/>
              <w:rPr>
                <w:sz w:val="20"/>
              </w:rPr>
            </w:pPr>
            <w:r>
              <w:rPr>
                <w:sz w:val="20"/>
              </w:rPr>
              <w:t>Daniel R. Marcus</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pPr>
            <w:r>
              <w:rPr/>
              <w:t> </w:t>
            </w:r>
          </w:p>
        </w:tc>
        <w:tc>
          <w:tcPr>
            <w:tcW w:w="2587" w:type="dxa"/>
            <w:tcBorders/>
            <w:vAlign w:val="center"/>
          </w:tcPr>
          <w:p>
            <w:pPr>
              <w:pStyle w:val="TableContents"/>
              <w:bidi w:val="0"/>
              <w:spacing w:before="0" w:after="283"/>
              <w:jc w:val="left"/>
              <w:rPr>
                <w:sz w:val="20"/>
              </w:rPr>
            </w:pPr>
            <w:r>
              <w:rPr>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290"/>
        <w:jc w:val="left"/>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75"/>
        <w:gridCol w:w="320"/>
        <w:gridCol w:w="2885"/>
      </w:tblGrid>
      <w:tr>
        <w:trPr/>
        <w:tc>
          <w:tcPr>
            <w:tcW w:w="75" w:type="dxa"/>
            <w:tcBorders/>
            <w:vAlign w:val="center"/>
          </w:tcPr>
          <w:p>
            <w:pPr>
              <w:pStyle w:val="TableContents"/>
              <w:bidi w:val="0"/>
              <w:spacing w:before="0" w:after="283"/>
              <w:jc w:val="left"/>
              <w:rPr/>
            </w:pPr>
            <w:r>
              <w:rPr/>
              <w:t> </w:t>
            </w:r>
          </w:p>
        </w:tc>
        <w:tc>
          <w:tcPr>
            <w:tcW w:w="3205" w:type="dxa"/>
            <w:gridSpan w:val="2"/>
            <w:tcBorders/>
            <w:vAlign w:val="center"/>
          </w:tcPr>
          <w:p>
            <w:pPr>
              <w:pStyle w:val="TableContents"/>
              <w:bidi w:val="0"/>
              <w:spacing w:before="0" w:after="283"/>
              <w:jc w:val="left"/>
              <w:rPr>
                <w:sz w:val="20"/>
              </w:rPr>
            </w:pPr>
            <w:r>
              <w:rPr>
                <w:sz w:val="20"/>
              </w:rPr>
              <w:t>David E. Shaw</w:t>
            </w:r>
          </w:p>
        </w:tc>
      </w:tr>
      <w:tr>
        <w:trPr/>
        <w:tc>
          <w:tcPr>
            <w:tcW w:w="75" w:type="dxa"/>
            <w:tcBorders/>
            <w:vAlign w:val="center"/>
          </w:tcPr>
          <w:p>
            <w:pPr>
              <w:pStyle w:val="TableContents"/>
              <w:bidi w:val="0"/>
              <w:spacing w:before="0" w:after="283"/>
              <w:jc w:val="left"/>
              <w:rPr/>
            </w:pPr>
            <w:r>
              <w:rPr/>
              <w:t> </w:t>
            </w:r>
          </w:p>
        </w:tc>
        <w:tc>
          <w:tcPr>
            <w:tcW w:w="320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885" w:type="dxa"/>
            <w:tcBorders/>
            <w:vAlign w:val="center"/>
          </w:tcPr>
          <w:p>
            <w:pPr>
              <w:pStyle w:val="TableContents"/>
              <w:bidi w:val="0"/>
              <w:spacing w:before="0" w:after="283"/>
              <w:jc w:val="left"/>
              <w:rPr>
                <w:sz w:val="20"/>
                <w:u w:val="single"/>
              </w:rPr>
            </w:pPr>
            <w:r>
              <w:rPr>
                <w:sz w:val="20"/>
                <w:u w:val="single"/>
              </w:rPr>
              <w:t>/s/ 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sz w:val="20"/>
              </w:rPr>
            </w:pPr>
            <w:r>
              <w:rPr>
                <w:sz w:val="20"/>
              </w:rPr>
              <w:t>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sz w:val="20"/>
              </w:rPr>
            </w:pPr>
            <w:r>
              <w:rPr>
                <w:sz w:val="20"/>
              </w:rPr>
              <w:t>Attorney-in-Fact for David E. Shaw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3526</Words>
  <Characters>17812</Characters>
  <CharactersWithSpaces>21279</CharactersWithSpaces>
  <Paragraphs>459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