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1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254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OPENDOOR TECHNOLOGIES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Common Stock, par value $0.0001 per share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683712103</w:t>
      </w:r>
    </w:p>
    <w:p>
      <w:pPr>
        <w:spacing w:after="0" w:line="2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December 30, 2022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right="8339" w:firstLine="8"/>
        <w:spacing w:after="0" w:line="536"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Rule 13d-1(c)</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04" w:lineRule="exact"/>
        <w:rPr>
          <w:sz w:val="24"/>
          <w:szCs w:val="24"/>
          <w:color w:val="auto"/>
        </w:rPr>
      </w:pPr>
    </w:p>
    <w:p>
      <w:pPr>
        <w:ind w:right="181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84" w:lineRule="exact"/>
        <w:rPr>
          <w:sz w:val="24"/>
          <w:szCs w:val="24"/>
          <w:color w:val="auto"/>
        </w:rPr>
      </w:pPr>
    </w:p>
    <w:p>
      <w:pPr>
        <w:jc w:val="both"/>
        <w:ind w:right="18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11</w:t>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w:t>
            </w:r>
          </w:p>
        </w:tc>
        <w:tc>
          <w:tcPr>
            <w:tcW w:w="1220" w:type="dxa"/>
            <w:vAlign w:val="bottom"/>
            <w:vMerge w:val="restart"/>
          </w:tcPr>
          <w:p>
            <w:pPr>
              <w:ind w:left="900"/>
              <w:spacing w:after="0"/>
              <w:rPr>
                <w:sz w:val="20"/>
                <w:szCs w:val="20"/>
                <w:color w:val="auto"/>
              </w:rPr>
            </w:pPr>
            <w:r>
              <w:rPr>
                <w:rFonts w:ascii="Courier New" w:cs="Courier New" w:eastAsia="Courier New" w:hAnsi="Courier New"/>
                <w:sz w:val="18"/>
                <w:szCs w:val="18"/>
                <w:color w:val="auto"/>
                <w:w w:val="92"/>
              </w:rPr>
              <w:t>13G</w:t>
            </w:r>
          </w:p>
        </w:tc>
        <w:tc>
          <w:tcPr>
            <w:tcW w:w="0" w:type="dxa"/>
            <w:vAlign w:val="bottom"/>
          </w:tcPr>
          <w:p>
            <w:pPr>
              <w:spacing w:after="0"/>
              <w:rPr>
                <w:sz w:val="1"/>
                <w:szCs w:val="1"/>
                <w:color w:val="auto"/>
              </w:rPr>
            </w:pP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CUSIP No. 683712103</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4"/>
          <w:szCs w:val="24"/>
          <w:color w:val="auto"/>
        </w:rPr>
      </w:pPr>
    </w:p>
    <w:p>
      <w:pPr>
        <w:ind w:left="640" w:hanging="527"/>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GOLDMAN SACHS GROUP,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169" w:lineRule="exact"/>
        <w:rPr>
          <w:sz w:val="24"/>
          <w:szCs w:val="24"/>
          <w:color w:val="auto"/>
        </w:rPr>
      </w:pPr>
    </w:p>
    <w:p>
      <w:pPr>
        <w:ind w:left="6740"/>
        <w:spacing w:after="0"/>
        <w:rPr>
          <w:sz w:val="20"/>
          <w:szCs w:val="20"/>
          <w:color w:val="auto"/>
        </w:rPr>
      </w:pPr>
      <w:r>
        <w:rPr>
          <w:rFonts w:ascii="Courier New" w:cs="Courier New" w:eastAsia="Courier New" w:hAnsi="Courier New"/>
          <w:sz w:val="18"/>
          <w:szCs w:val="18"/>
          <w:color w:val="auto"/>
        </w:rPr>
        <w:t>(a) [_]</w:t>
      </w:r>
    </w:p>
    <w:p>
      <w:pPr>
        <w:spacing w:after="0" w:line="29" w:lineRule="exact"/>
        <w:rPr>
          <w:sz w:val="24"/>
          <w:szCs w:val="24"/>
          <w:color w:val="auto"/>
        </w:rPr>
      </w:pPr>
    </w:p>
    <w:p>
      <w:pPr>
        <w:ind w:left="6740"/>
        <w:spacing w:after="0"/>
        <w:rPr>
          <w:sz w:val="20"/>
          <w:szCs w:val="20"/>
          <w:color w:val="auto"/>
        </w:rPr>
      </w:pPr>
      <w:r>
        <w:rPr>
          <w:rFonts w:ascii="Courier New" w:cs="Courier New" w:eastAsia="Courier New" w:hAnsi="Courier New"/>
          <w:sz w:val="18"/>
          <w:szCs w:val="18"/>
          <w:color w:val="auto"/>
        </w:rPr>
        <w:t>(b) [_]</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ectPr>
          <w:pgSz w:w="11900" w:h="16838" w:orient="portrait"/>
          <w:cols w:equalWidth="0" w:num="1">
            <w:col w:w="10139"/>
          </w:cols>
          <w:pgMar w:left="320" w:top="825" w:right="1440" w:bottom="254"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640" w:hanging="527"/>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tbl>
      <w:tblPr>
        <w:tblLayout w:type="fixed"/>
        <w:tblInd w:w="320" w:type="dxa"/>
        <w:tblCellMar>
          <w:top w:w="0" w:type="dxa"/>
          <w:left w:w="0" w:type="dxa"/>
          <w:bottom w:w="0" w:type="dxa"/>
          <w:right w:w="0" w:type="dxa"/>
        </w:tblCellMar>
      </w:tblPr>
      <w:tr>
        <w:trPr>
          <w:trHeight w:val="296"/>
        </w:trPr>
        <w:tc>
          <w:tcPr>
            <w:tcW w:w="1540" w:type="dxa"/>
            <w:vAlign w:val="bottom"/>
          </w:tcPr>
          <w:p>
            <w:pPr>
              <w:spacing w:after="0"/>
              <w:rPr>
                <w:sz w:val="24"/>
                <w:szCs w:val="24"/>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373"/>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88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6.</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Beneficially</w:t>
            </w:r>
          </w:p>
        </w:tc>
        <w:tc>
          <w:tcPr>
            <w:tcW w:w="8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45,840,626</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172"/>
              <w:spacing w:after="0"/>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6360" w:type="dxa"/>
            <w:vAlign w:val="bottom"/>
            <w:gridSpan w:val="2"/>
            <w:vMerge w:val="restart"/>
          </w:tcPr>
          <w:p>
            <w:pPr>
              <w:ind w:left="2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109"/>
        </w:trPr>
        <w:tc>
          <w:tcPr>
            <w:tcW w:w="15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Each</w:t>
            </w:r>
          </w:p>
        </w:tc>
        <w:tc>
          <w:tcPr>
            <w:tcW w:w="6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540" w:type="dxa"/>
            <w:vAlign w:val="bottom"/>
            <w:vMerge w:val="continue"/>
          </w:tcPr>
          <w:p>
            <w:pPr>
              <w:spacing w:after="0"/>
              <w:rPr>
                <w:sz w:val="24"/>
                <w:szCs w:val="24"/>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88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8.</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72"/>
              <w:spacing w:after="0"/>
              <w:rPr>
                <w:sz w:val="20"/>
                <w:szCs w:val="20"/>
                <w:color w:val="auto"/>
              </w:rPr>
            </w:pPr>
            <w:r>
              <w:rPr>
                <w:rFonts w:ascii="Courier New" w:cs="Courier New" w:eastAsia="Courier New" w:hAnsi="Courier New"/>
                <w:sz w:val="18"/>
                <w:szCs w:val="18"/>
                <w:color w:val="auto"/>
                <w:w w:val="99"/>
              </w:rPr>
              <w:t>With:</w:t>
            </w:r>
          </w:p>
        </w:tc>
        <w:tc>
          <w:tcPr>
            <w:tcW w:w="8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45,842,568</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3179" w:hanging="1047"/>
        <w:spacing w:after="0" w:line="696" w:lineRule="auto"/>
        <w:tabs>
          <w:tab w:leader="none" w:pos="63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45,842,904</w:t>
      </w: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7160" w:right="2659" w:hanging="7152"/>
        <w:spacing w:after="0" w:line="443" w:lineRule="auto"/>
        <w:tabs>
          <w:tab w:leader="none" w:pos="63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4339" w:hanging="1152"/>
        <w:spacing w:after="0" w:line="696" w:lineRule="auto"/>
        <w:tabs>
          <w:tab w:leader="none" w:pos="63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7.2 %</w:t>
      </w: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6979" w:hanging="1152"/>
        <w:spacing w:after="0" w:line="457" w:lineRule="auto"/>
        <w:tabs>
          <w:tab w:leader="none" w:pos="63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11</w:t>
      </w:r>
    </w:p>
    <w:p>
      <w:pPr>
        <w:sectPr>
          <w:pgSz w:w="11900" w:h="16838" w:orient="portrait"/>
          <w:cols w:equalWidth="0" w:num="1">
            <w:col w:w="10139"/>
          </w:cols>
          <w:pgMar w:left="320" w:top="11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3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w:t>
            </w:r>
          </w:p>
        </w:tc>
        <w:tc>
          <w:tcPr>
            <w:tcW w:w="1220" w:type="dxa"/>
            <w:vAlign w:val="bottom"/>
            <w:vMerge w:val="restart"/>
          </w:tcPr>
          <w:p>
            <w:pPr>
              <w:ind w:left="900"/>
              <w:spacing w:after="0"/>
              <w:rPr>
                <w:sz w:val="20"/>
                <w:szCs w:val="20"/>
                <w:color w:val="auto"/>
              </w:rPr>
            </w:pPr>
            <w:r>
              <w:rPr>
                <w:rFonts w:ascii="Courier New" w:cs="Courier New" w:eastAsia="Courier New" w:hAnsi="Courier New"/>
                <w:sz w:val="18"/>
                <w:szCs w:val="18"/>
                <w:color w:val="auto"/>
                <w:w w:val="92"/>
              </w:rPr>
              <w:t>13G</w:t>
            </w:r>
          </w:p>
        </w:tc>
        <w:tc>
          <w:tcPr>
            <w:tcW w:w="0" w:type="dxa"/>
            <w:vAlign w:val="bottom"/>
          </w:tcPr>
          <w:p>
            <w:pPr>
              <w:spacing w:after="0"/>
              <w:rPr>
                <w:sz w:val="1"/>
                <w:szCs w:val="1"/>
                <w:color w:val="auto"/>
              </w:rPr>
            </w:pP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CUSIP No. 683712103</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ind w:left="640" w:hanging="527"/>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GOLDMAN SACHS &amp; CO.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169"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(a) [_]</w:t>
      </w:r>
    </w:p>
    <w:p>
      <w:pPr>
        <w:spacing w:after="0" w:line="29"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(b) [_]</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New York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tbl>
      <w:tblPr>
        <w:tblLayout w:type="fixed"/>
        <w:tblInd w:w="320" w:type="dxa"/>
        <w:tblCellMar>
          <w:top w:w="0" w:type="dxa"/>
          <w:left w:w="0" w:type="dxa"/>
          <w:bottom w:w="0" w:type="dxa"/>
          <w:right w:w="0" w:type="dxa"/>
        </w:tblCellMar>
      </w:tblPr>
      <w:tr>
        <w:trPr>
          <w:trHeight w:val="296"/>
        </w:trPr>
        <w:tc>
          <w:tcPr>
            <w:tcW w:w="1540" w:type="dxa"/>
            <w:vAlign w:val="bottom"/>
          </w:tcPr>
          <w:p>
            <w:pPr>
              <w:spacing w:after="0"/>
              <w:rPr>
                <w:sz w:val="24"/>
                <w:szCs w:val="24"/>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373"/>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88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6.</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Beneficially</w:t>
            </w:r>
          </w:p>
        </w:tc>
        <w:tc>
          <w:tcPr>
            <w:tcW w:w="8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45,840,626</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172"/>
              <w:spacing w:after="0"/>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6360" w:type="dxa"/>
            <w:vAlign w:val="bottom"/>
            <w:gridSpan w:val="2"/>
            <w:vMerge w:val="restart"/>
          </w:tcPr>
          <w:p>
            <w:pPr>
              <w:ind w:left="2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109"/>
        </w:trPr>
        <w:tc>
          <w:tcPr>
            <w:tcW w:w="15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Each</w:t>
            </w:r>
          </w:p>
        </w:tc>
        <w:tc>
          <w:tcPr>
            <w:tcW w:w="6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540" w:type="dxa"/>
            <w:vAlign w:val="bottom"/>
            <w:vMerge w:val="continue"/>
          </w:tcPr>
          <w:p>
            <w:pPr>
              <w:spacing w:after="0"/>
              <w:rPr>
                <w:sz w:val="24"/>
                <w:szCs w:val="24"/>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88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8.</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72"/>
              <w:spacing w:after="0"/>
              <w:rPr>
                <w:sz w:val="20"/>
                <w:szCs w:val="20"/>
                <w:color w:val="auto"/>
              </w:rPr>
            </w:pPr>
            <w:r>
              <w:rPr>
                <w:rFonts w:ascii="Courier New" w:cs="Courier New" w:eastAsia="Courier New" w:hAnsi="Courier New"/>
                <w:sz w:val="18"/>
                <w:szCs w:val="18"/>
                <w:color w:val="auto"/>
                <w:w w:val="99"/>
              </w:rPr>
              <w:t>With:</w:t>
            </w:r>
          </w:p>
        </w:tc>
        <w:tc>
          <w:tcPr>
            <w:tcW w:w="8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45,842,568</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3179" w:hanging="1047"/>
        <w:spacing w:after="0" w:line="696" w:lineRule="auto"/>
        <w:tabs>
          <w:tab w:leader="none" w:pos="634"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45,842,904</w:t>
      </w: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169" w:lineRule="exact"/>
        <w:rPr>
          <w:sz w:val="20"/>
          <w:szCs w:val="20"/>
          <w:color w:val="auto"/>
        </w:rPr>
      </w:pPr>
    </w:p>
    <w:p>
      <w:pPr>
        <w:ind w:left="7160"/>
        <w:spacing w:after="0"/>
        <w:rPr>
          <w:sz w:val="20"/>
          <w:szCs w:val="20"/>
          <w:color w:val="auto"/>
        </w:rPr>
      </w:pPr>
      <w:r>
        <w:rPr>
          <w:rFonts w:ascii="Courier New" w:cs="Courier New" w:eastAsia="Courier New" w:hAnsi="Courier New"/>
          <w:sz w:val="18"/>
          <w:szCs w:val="18"/>
          <w:color w:val="auto"/>
        </w:rPr>
        <w:t>[_]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4339" w:hanging="1152"/>
        <w:spacing w:after="0" w:line="696" w:lineRule="auto"/>
        <w:tabs>
          <w:tab w:leader="none" w:pos="63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7.2 %</w:t>
      </w: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6979" w:hanging="1152"/>
        <w:spacing w:after="0" w:line="457" w:lineRule="auto"/>
        <w:tabs>
          <w:tab w:leader="none" w:pos="63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BD-OO-IA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689" w:right="1440" w:bottom="4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3 of 11</w:t>
      </w:r>
    </w:p>
    <w:p>
      <w:pPr>
        <w:sectPr>
          <w:pgSz w:w="11900" w:h="16838" w:orient="portrait"/>
          <w:cols w:equalWidth="0" w:num="1">
            <w:col w:w="10139"/>
          </w:cols>
          <w:pgMar w:left="320" w:top="689" w:right="1440" w:bottom="417" w:gutter="0" w:footer="0" w:header="0"/>
          <w:type w:val="continuous"/>
        </w:sectPr>
      </w:pPr>
    </w:p>
    <w:bookmarkStart w:id="3" w:name="page4"/>
    <w:bookmarkEnd w:id="3"/>
    <w:p>
      <w:pPr>
        <w:spacing w:after="0"/>
        <w:tabs>
          <w:tab w:leader="none" w:pos="19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OPENDOOR TECHNOLOGIES INC.</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410 N. Scottsdale Road, Suite 1600,</w:t>
      </w:r>
    </w:p>
    <w:p>
      <w:pPr>
        <w:ind w:left="3700"/>
        <w:spacing w:after="0"/>
        <w:rPr>
          <w:sz w:val="20"/>
          <w:szCs w:val="20"/>
          <w:color w:val="auto"/>
        </w:rPr>
      </w:pPr>
      <w:r>
        <w:rPr>
          <w:rFonts w:ascii="Courier New" w:cs="Courier New" w:eastAsia="Courier New" w:hAnsi="Courier New"/>
          <w:sz w:val="18"/>
          <w:szCs w:val="18"/>
          <w:color w:val="auto"/>
        </w:rPr>
        <w:t>Tempe, AZ 85281</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GOLDMAN SACHS GROUP, INC.</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GOLDMAN SACHS &amp; CO. LLC</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Goldman Sachs Group, Inc.</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200 West Street</w:t>
      </w:r>
    </w:p>
    <w:p>
      <w:pPr>
        <w:ind w:left="2000"/>
        <w:spacing w:after="0"/>
        <w:rPr>
          <w:sz w:val="20"/>
          <w:szCs w:val="20"/>
          <w:color w:val="auto"/>
        </w:rPr>
      </w:pPr>
      <w:r>
        <w:rPr>
          <w:rFonts w:ascii="Courier New" w:cs="Courier New" w:eastAsia="Courier New" w:hAnsi="Courier New"/>
          <w:sz w:val="18"/>
          <w:szCs w:val="18"/>
          <w:color w:val="auto"/>
        </w:rPr>
        <w:t>New York, NY 10282</w:t>
      </w:r>
    </w:p>
    <w:p>
      <w:pPr>
        <w:spacing w:after="0" w:line="16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Goldman Sachs &amp; Co. LLC</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200 West Street</w:t>
      </w:r>
    </w:p>
    <w:p>
      <w:pPr>
        <w:ind w:left="2000"/>
        <w:spacing w:after="0"/>
        <w:rPr>
          <w:sz w:val="20"/>
          <w:szCs w:val="20"/>
          <w:color w:val="auto"/>
        </w:rPr>
      </w:pPr>
      <w:r>
        <w:rPr>
          <w:rFonts w:ascii="Courier New" w:cs="Courier New" w:eastAsia="Courier New" w:hAnsi="Courier New"/>
          <w:sz w:val="18"/>
          <w:szCs w:val="18"/>
          <w:color w:val="auto"/>
        </w:rPr>
        <w:t>New York, NY 10282</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GOLDMAN SACHS GROUP, INC. - Delaware</w:t>
      </w:r>
    </w:p>
    <w:p>
      <w:pPr>
        <w:ind w:left="2000"/>
        <w:spacing w:after="0"/>
        <w:rPr>
          <w:sz w:val="20"/>
          <w:szCs w:val="20"/>
          <w:color w:val="auto"/>
        </w:rPr>
      </w:pPr>
      <w:r>
        <w:rPr>
          <w:rFonts w:ascii="Courier New" w:cs="Courier New" w:eastAsia="Courier New" w:hAnsi="Courier New"/>
          <w:sz w:val="18"/>
          <w:szCs w:val="18"/>
          <w:color w:val="auto"/>
        </w:rPr>
        <w:t>GOLDMAN SACHS &amp; CO. LLC - New York</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Common Stock, par value $0.0001 per share</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683712103</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13d-2(b) or (c), check whether the person filing is a:</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(a).[X]</w:t>
      </w:r>
      <w:r>
        <w:rPr>
          <w:sz w:val="20"/>
          <w:szCs w:val="20"/>
          <w:color w:val="auto"/>
        </w:rPr>
        <w:tab/>
      </w:r>
      <w:r>
        <w:rPr>
          <w:rFonts w:ascii="Courier New" w:cs="Courier New" w:eastAsia="Courier New" w:hAnsi="Courier New"/>
          <w:sz w:val="16"/>
          <w:szCs w:val="16"/>
          <w:color w:val="auto"/>
        </w:rPr>
        <w:t>Broker or dealer registered under Section 15 of the Act</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(15 U.S.C. 78o).</w:t>
      </w:r>
    </w:p>
    <w:p>
      <w:pPr>
        <w:ind w:left="3160"/>
        <w:spacing w:after="0"/>
        <w:rPr>
          <w:sz w:val="20"/>
          <w:szCs w:val="20"/>
          <w:color w:val="auto"/>
        </w:rPr>
      </w:pPr>
      <w:r>
        <w:rPr>
          <w:rFonts w:ascii="Courier New" w:cs="Courier New" w:eastAsia="Courier New" w:hAnsi="Courier New"/>
          <w:sz w:val="18"/>
          <w:szCs w:val="18"/>
          <w:color w:val="auto"/>
        </w:rPr>
        <w:t>Goldman Sachs &amp; Co. LLC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(b).[_]</w:t>
      </w:r>
      <w:r>
        <w:rPr>
          <w:sz w:val="20"/>
          <w:szCs w:val="20"/>
          <w:color w:val="auto"/>
        </w:rPr>
        <w:tab/>
      </w:r>
      <w:r>
        <w:rPr>
          <w:rFonts w:ascii="Courier New" w:cs="Courier New" w:eastAsia="Courier New" w:hAnsi="Courier New"/>
          <w:sz w:val="16"/>
          <w:szCs w:val="16"/>
          <w:color w:val="auto"/>
        </w:rPr>
        <w:t>Bank as defined in Section 3(a)(6) of the Act</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(c).[_]</w:t>
      </w:r>
      <w:r>
        <w:rPr>
          <w:sz w:val="20"/>
          <w:szCs w:val="20"/>
          <w:color w:val="auto"/>
        </w:rPr>
        <w:tab/>
      </w:r>
      <w:r>
        <w:rPr>
          <w:rFonts w:ascii="Courier New" w:cs="Courier New" w:eastAsia="Courier New" w:hAnsi="Courier New"/>
          <w:sz w:val="16"/>
          <w:szCs w:val="16"/>
          <w:color w:val="auto"/>
        </w:rPr>
        <w:t>Insurance company as defined in Section 3(a)(19) of the Act</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(d).[_]</w:t>
      </w:r>
      <w:r>
        <w:rPr>
          <w:sz w:val="20"/>
          <w:szCs w:val="20"/>
          <w:color w:val="auto"/>
        </w:rPr>
        <w:tab/>
      </w:r>
      <w:r>
        <w:rPr>
          <w:rFonts w:ascii="Courier New" w:cs="Courier New" w:eastAsia="Courier New" w:hAnsi="Courier New"/>
          <w:sz w:val="16"/>
          <w:szCs w:val="16"/>
          <w:color w:val="auto"/>
        </w:rPr>
        <w:t>Investment company registered under Section 8 of the</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Investment Company Act of 1940 (15 U.S.C. 80a-8).</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(e).[X]</w:t>
      </w:r>
      <w:r>
        <w:rPr>
          <w:sz w:val="20"/>
          <w:szCs w:val="20"/>
          <w:color w:val="auto"/>
        </w:rPr>
        <w:tab/>
      </w:r>
      <w:r>
        <w:rPr>
          <w:rFonts w:ascii="Courier New" w:cs="Courier New" w:eastAsia="Courier New" w:hAnsi="Courier New"/>
          <w:sz w:val="16"/>
          <w:szCs w:val="16"/>
          <w:color w:val="auto"/>
        </w:rPr>
        <w:t>An investment adviser in accordance with</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Rule 13d-1(b)(1)(ii)(E);</w:t>
      </w:r>
    </w:p>
    <w:p>
      <w:pPr>
        <w:ind w:left="3160"/>
        <w:spacing w:after="0"/>
        <w:rPr>
          <w:sz w:val="20"/>
          <w:szCs w:val="20"/>
          <w:color w:val="auto"/>
        </w:rPr>
      </w:pPr>
      <w:r>
        <w:rPr>
          <w:rFonts w:ascii="Courier New" w:cs="Courier New" w:eastAsia="Courier New" w:hAnsi="Courier New"/>
          <w:sz w:val="18"/>
          <w:szCs w:val="18"/>
          <w:color w:val="auto"/>
        </w:rPr>
        <w:t>Goldman Sachs &amp; Co. LLC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(f).[_]</w:t>
      </w:r>
      <w:r>
        <w:rPr>
          <w:sz w:val="20"/>
          <w:szCs w:val="20"/>
          <w:color w:val="auto"/>
        </w:rPr>
        <w:tab/>
      </w:r>
      <w:r>
        <w:rPr>
          <w:rFonts w:ascii="Courier New" w:cs="Courier New" w:eastAsia="Courier New" w:hAnsi="Courier New"/>
          <w:sz w:val="16"/>
          <w:szCs w:val="16"/>
          <w:color w:val="auto"/>
        </w:rPr>
        <w:t>An employee benefit plan or endowment fund in accordance</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with Rule 13d-1(b)(1)(ii)(F);</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(g).[X]</w:t>
      </w:r>
      <w:r>
        <w:rPr>
          <w:sz w:val="20"/>
          <w:szCs w:val="20"/>
          <w:color w:val="auto"/>
        </w:rPr>
        <w:tab/>
      </w:r>
      <w:r>
        <w:rPr>
          <w:rFonts w:ascii="Courier New" w:cs="Courier New" w:eastAsia="Courier New" w:hAnsi="Courier New"/>
          <w:sz w:val="16"/>
          <w:szCs w:val="16"/>
          <w:color w:val="auto"/>
        </w:rPr>
        <w:t>A parent holding company or control person in accordance</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with Rule 13d-1(b)(1)(ii)(G);</w:t>
      </w:r>
    </w:p>
    <w:p>
      <w:pPr>
        <w:ind w:left="3160"/>
        <w:spacing w:after="0"/>
        <w:rPr>
          <w:sz w:val="20"/>
          <w:szCs w:val="20"/>
          <w:color w:val="auto"/>
        </w:rPr>
      </w:pPr>
      <w:r>
        <w:rPr>
          <w:rFonts w:ascii="Courier New" w:cs="Courier New" w:eastAsia="Courier New" w:hAnsi="Courier New"/>
          <w:sz w:val="18"/>
          <w:szCs w:val="18"/>
          <w:color w:val="auto"/>
        </w:rPr>
        <w:t>The Goldman Sachs Group, Inc.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(h).[_]</w:t>
      </w:r>
      <w:r>
        <w:rPr>
          <w:sz w:val="20"/>
          <w:szCs w:val="20"/>
          <w:color w:val="auto"/>
        </w:rPr>
        <w:tab/>
      </w:r>
      <w:r>
        <w:rPr>
          <w:rFonts w:ascii="Courier New" w:cs="Courier New" w:eastAsia="Courier New" w:hAnsi="Courier New"/>
          <w:sz w:val="16"/>
          <w:szCs w:val="16"/>
          <w:color w:val="auto"/>
        </w:rPr>
        <w:t>A savings association as defined in Section 3(b) of the</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Federal Deposit Insurance Act (12 U.S.C. 1813);</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(i).[_]</w:t>
      </w:r>
      <w:r>
        <w:rPr>
          <w:sz w:val="20"/>
          <w:szCs w:val="20"/>
          <w:color w:val="auto"/>
        </w:rPr>
        <w:tab/>
      </w:r>
      <w:r>
        <w:rPr>
          <w:rFonts w:ascii="Courier New" w:cs="Courier New" w:eastAsia="Courier New" w:hAnsi="Courier New"/>
          <w:sz w:val="16"/>
          <w:szCs w:val="16"/>
          <w:color w:val="auto"/>
        </w:rPr>
        <w:t>A church plan that is excluded from the definition of an</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investment company under Section 3(c)(14) of the</w:t>
      </w:r>
    </w:p>
    <w:p>
      <w:pPr>
        <w:ind w:left="2000"/>
        <w:spacing w:after="0"/>
        <w:rPr>
          <w:sz w:val="20"/>
          <w:szCs w:val="20"/>
          <w:color w:val="auto"/>
        </w:rPr>
      </w:pPr>
      <w:r>
        <w:rPr>
          <w:rFonts w:ascii="Courier New" w:cs="Courier New" w:eastAsia="Courier New" w:hAnsi="Courier New"/>
          <w:sz w:val="18"/>
          <w:szCs w:val="18"/>
          <w:color w:val="auto"/>
        </w:rPr>
        <w:t>Investment Company Act of 1940 (15 U.S.C. 80a-3);</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(j).[_]</w:t>
      </w:r>
      <w:r>
        <w:rPr>
          <w:sz w:val="20"/>
          <w:szCs w:val="20"/>
          <w:color w:val="auto"/>
        </w:rPr>
        <w:tab/>
      </w:r>
      <w:r>
        <w:rPr>
          <w:rFonts w:ascii="Courier New" w:cs="Courier New" w:eastAsia="Courier New" w:hAnsi="Courier New"/>
          <w:sz w:val="16"/>
          <w:szCs w:val="16"/>
          <w:color w:val="auto"/>
        </w:rPr>
        <w:t>A non-U.S. institution in accordance with</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Rule 13d-1(b)(1)(ii)(J);</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(k).[_]</w:t>
      </w:r>
      <w:r>
        <w:rPr>
          <w:sz w:val="20"/>
          <w:szCs w:val="20"/>
          <w:color w:val="auto"/>
        </w:rPr>
        <w:tab/>
      </w:r>
      <w:r>
        <w:rPr>
          <w:rFonts w:ascii="Courier New" w:cs="Courier New" w:eastAsia="Courier New" w:hAnsi="Courier New"/>
          <w:sz w:val="16"/>
          <w:szCs w:val="16"/>
          <w:color w:val="auto"/>
        </w:rPr>
        <w:t>A group, in accordance with Rule 13d-1(b)(1)(ii)</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 through (K).</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If filing as a non-U.S. institution in accordance with Rule</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13d-1(b)(1)(ii)(J), please specify the type of institution:</w:t>
      </w:r>
    </w:p>
    <w:p>
      <w:pPr>
        <w:sectPr>
          <w:pgSz w:w="11900" w:h="16838" w:orient="portrait"/>
          <w:cols w:equalWidth="0" w:num="1">
            <w:col w:w="10139"/>
          </w:cols>
          <w:pgMar w:left="320" w:top="690" w:right="1440" w:bottom="0" w:gutter="0" w:footer="0" w:header="0"/>
        </w:sectPr>
      </w:pPr>
    </w:p>
    <w:p>
      <w:pPr>
        <w:spacing w:after="0" w:line="200" w:lineRule="exact"/>
        <w:rPr>
          <w:sz w:val="20"/>
          <w:szCs w:val="20"/>
          <w:color w:val="auto"/>
        </w:rPr>
      </w:pPr>
    </w:p>
    <w:p>
      <w:pPr>
        <w:spacing w:after="0" w:line="37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4 of 11</w:t>
      </w:r>
    </w:p>
    <w:p>
      <w:pPr>
        <w:sectPr>
          <w:pgSz w:w="11900" w:h="16838" w:orient="portrait"/>
          <w:cols w:equalWidth="0" w:num="1">
            <w:col w:w="10139"/>
          </w:cols>
          <w:pgMar w:left="320" w:top="690" w:right="1440" w:bottom="0" w:gutter="0" w:footer="0" w:header="0"/>
          <w:type w:val="continuous"/>
        </w:sectPr>
      </w:pPr>
    </w:p>
    <w:bookmarkStart w:id="4" w:name="page5"/>
    <w:bookmarkEnd w:id="4"/>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Ownership.*</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(a).</w:t>
            </w:r>
          </w:p>
        </w:tc>
        <w:tc>
          <w:tcPr>
            <w:tcW w:w="370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2880" w:type="dxa"/>
            <w:vAlign w:val="bottom"/>
            <w:gridSpan w:val="2"/>
            <w:vMerge w:val="restart"/>
          </w:tcPr>
          <w:p>
            <w:pPr>
              <w:ind w:left="40"/>
              <w:spacing w:after="0"/>
              <w:rPr>
                <w:sz w:val="20"/>
                <w:szCs w:val="20"/>
                <w:color w:val="auto"/>
              </w:rPr>
            </w:pPr>
            <w:r>
              <w:rPr>
                <w:rFonts w:ascii="Courier New" w:cs="Courier New" w:eastAsia="Courier New" w:hAnsi="Courier New"/>
                <w:sz w:val="18"/>
                <w:szCs w:val="18"/>
                <w:color w:val="auto"/>
                <w:w w:val="96"/>
              </w:rPr>
              <w:t>the attached cover page(s).</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9"/>
              </w:rPr>
              <w:t>See the response(s) to</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Item 9 on</w:t>
            </w:r>
          </w:p>
        </w:tc>
        <w:tc>
          <w:tcPr>
            <w:tcW w:w="28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(b).</w:t>
            </w: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060" w:type="dxa"/>
            <w:vAlign w:val="bottom"/>
          </w:tcPr>
          <w:p>
            <w:pPr>
              <w:spacing w:after="0"/>
              <w:rPr>
                <w:sz w:val="24"/>
                <w:szCs w:val="24"/>
                <w:color w:val="auto"/>
              </w:rPr>
            </w:pPr>
          </w:p>
        </w:tc>
        <w:tc>
          <w:tcPr>
            <w:tcW w:w="2880" w:type="dxa"/>
            <w:vAlign w:val="bottom"/>
            <w:gridSpan w:val="2"/>
            <w:vMerge w:val="restart"/>
          </w:tcPr>
          <w:p>
            <w:pPr>
              <w:ind w:left="40"/>
              <w:spacing w:after="0"/>
              <w:rPr>
                <w:sz w:val="20"/>
                <w:szCs w:val="20"/>
                <w:color w:val="auto"/>
              </w:rPr>
            </w:pPr>
            <w:r>
              <w:rPr>
                <w:rFonts w:ascii="Courier New" w:cs="Courier New" w:eastAsia="Courier New" w:hAnsi="Courier New"/>
                <w:sz w:val="18"/>
                <w:szCs w:val="18"/>
                <w:color w:val="auto"/>
                <w:w w:val="96"/>
              </w:rPr>
              <w:t>the attached cover page(s).</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370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8"/>
              </w:rPr>
              <w:t>See the response(s)to Item 11 on</w:t>
            </w:r>
          </w:p>
        </w:tc>
        <w:tc>
          <w:tcPr>
            <w:tcW w:w="28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(c).</w:t>
            </w: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9"/>
              </w:rPr>
              <w:t>Number of shares as to</w:t>
            </w:r>
          </w:p>
        </w:tc>
        <w:tc>
          <w:tcPr>
            <w:tcW w:w="19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which such person</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has:</w:t>
            </w:r>
          </w:p>
        </w:tc>
        <w:tc>
          <w:tcPr>
            <w:tcW w:w="0" w:type="dxa"/>
            <w:vAlign w:val="bottom"/>
          </w:tcPr>
          <w:p>
            <w:pPr>
              <w:spacing w:after="0"/>
              <w:rPr>
                <w:sz w:val="1"/>
                <w:szCs w:val="1"/>
                <w:color w:val="auto"/>
              </w:rPr>
            </w:pPr>
          </w:p>
        </w:tc>
      </w:tr>
      <w:tr>
        <w:trPr>
          <w:trHeight w:val="311"/>
        </w:trPr>
        <w:tc>
          <w:tcPr>
            <w:tcW w:w="1740" w:type="dxa"/>
            <w:vAlign w:val="bottom"/>
          </w:tcPr>
          <w:p>
            <w:pPr>
              <w:spacing w:after="0"/>
              <w:rPr>
                <w:sz w:val="24"/>
                <w:szCs w:val="2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rPr>
              <w:t>(i).</w:t>
            </w:r>
          </w:p>
        </w:tc>
        <w:tc>
          <w:tcPr>
            <w:tcW w:w="2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Sole power to vote or to</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direct</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the vote:  See the</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w w:val="99"/>
              </w:rPr>
              <w:t>response(s) to</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Item 5 on</w:t>
            </w:r>
          </w:p>
        </w:tc>
        <w:tc>
          <w:tcPr>
            <w:tcW w:w="2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the attached cover page(s).</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left="2860" w:right="1819" w:hanging="841"/>
        <w:spacing w:after="0" w:line="402" w:lineRule="auto"/>
        <w:tabs>
          <w:tab w:leader="none" w:pos="28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 vote: See the response(s) to Item 6 on the attached cover page(s).</w:t>
      </w:r>
    </w:p>
    <w:p>
      <w:pPr>
        <w:jc w:val="both"/>
        <w:ind w:left="2860" w:right="1819" w:hanging="841"/>
        <w:spacing w:after="0" w:line="292" w:lineRule="auto"/>
        <w:tabs>
          <w:tab w:leader="none" w:pos="2840" w:val="left"/>
        </w:tabs>
        <w:rPr>
          <w:sz w:val="20"/>
          <w:szCs w:val="20"/>
          <w:color w:val="auto"/>
        </w:rPr>
      </w:pPr>
      <w:r>
        <w:rPr>
          <w:rFonts w:ascii="Courier New" w:cs="Courier New" w:eastAsia="Courier New" w:hAnsi="Courier New"/>
          <w:sz w:val="18"/>
          <w:szCs w:val="18"/>
          <w:color w:val="auto"/>
        </w:rPr>
        <w:t>(iii).</w:t>
        <w:tab/>
        <w:t>Sole power to dispose or to direct the disposition of: See the response(s) to Item 7 on the attached cover page(s).</w:t>
      </w:r>
    </w:p>
    <w:p>
      <w:pPr>
        <w:spacing w:after="0" w:line="66" w:lineRule="exact"/>
        <w:rPr>
          <w:sz w:val="20"/>
          <w:szCs w:val="20"/>
          <w:color w:val="auto"/>
        </w:rPr>
      </w:pPr>
    </w:p>
    <w:p>
      <w:pPr>
        <w:jc w:val="both"/>
        <w:ind w:left="2860" w:right="1819" w:hanging="841"/>
        <w:spacing w:after="0" w:line="292" w:lineRule="auto"/>
        <w:tabs>
          <w:tab w:leader="none" w:pos="28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Shared power to dispose or to direct the disposition of: See the response(s) to Item 8 on the attached cover page(s).</w:t>
      </w:r>
    </w:p>
    <w:p>
      <w:pPr>
        <w:spacing w:after="0" w:line="66"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3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2000" w:right="2239" w:hanging="2000"/>
        <w:spacing w:after="0" w:line="346" w:lineRule="auto"/>
        <w:tabs>
          <w:tab w:leader="none" w:pos="19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174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5"/>
              </w:rPr>
              <w:t>Clients  of</w:t>
            </w:r>
          </w:p>
        </w:tc>
        <w:tc>
          <w:tcPr>
            <w:tcW w:w="540" w:type="dxa"/>
            <w:vAlign w:val="bottom"/>
          </w:tcPr>
          <w:p>
            <w:pPr>
              <w:ind w:left="220"/>
              <w:spacing w:after="0"/>
              <w:rPr>
                <w:sz w:val="20"/>
                <w:szCs w:val="20"/>
                <w:color w:val="auto"/>
              </w:rPr>
            </w:pPr>
            <w:r>
              <w:rPr>
                <w:rFonts w:ascii="Courier New" w:cs="Courier New" w:eastAsia="Courier New" w:hAnsi="Courier New"/>
                <w:sz w:val="18"/>
                <w:szCs w:val="18"/>
                <w:color w:val="auto"/>
                <w:w w:val="92"/>
              </w:rPr>
              <w:t>the</w:t>
            </w:r>
          </w:p>
        </w:tc>
        <w:tc>
          <w:tcPr>
            <w:tcW w:w="11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6"/>
              </w:rPr>
              <w:t>Reporting</w:t>
            </w:r>
          </w:p>
        </w:tc>
        <w:tc>
          <w:tcPr>
            <w:tcW w:w="346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Person(s) have or  may have the</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1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right</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receive or</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power</w:t>
            </w:r>
          </w:p>
        </w:tc>
        <w:tc>
          <w:tcPr>
            <w:tcW w:w="4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to</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direct</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receipt of</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6900" w:type="dxa"/>
            <w:vAlign w:val="bottom"/>
            <w:gridSpan w:val="10"/>
          </w:tcPr>
          <w:p>
            <w:pPr>
              <w:ind w:left="580"/>
              <w:spacing w:after="0" w:line="203" w:lineRule="exact"/>
              <w:rPr>
                <w:sz w:val="20"/>
                <w:szCs w:val="20"/>
                <w:color w:val="auto"/>
              </w:rPr>
            </w:pPr>
            <w:r>
              <w:rPr>
                <w:rFonts w:ascii="Courier New" w:cs="Courier New" w:eastAsia="Courier New" w:hAnsi="Courier New"/>
                <w:sz w:val="18"/>
                <w:szCs w:val="18"/>
                <w:color w:val="auto"/>
                <w:w w:val="97"/>
              </w:rPr>
              <w:t>dividends from, or the proceeds from the sale of, securities</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1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held</w:t>
            </w:r>
          </w:p>
        </w:tc>
        <w:tc>
          <w:tcPr>
            <w:tcW w:w="28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in their accounts. Clients</w:t>
            </w:r>
          </w:p>
        </w:tc>
        <w:tc>
          <w:tcPr>
            <w:tcW w:w="28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known to have such right or</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1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power</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with</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respect</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more</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than 5%  of</w:t>
            </w:r>
          </w:p>
        </w:tc>
        <w:tc>
          <w:tcPr>
            <w:tcW w:w="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  of</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80" w:type="dxa"/>
            <w:vAlign w:val="bottom"/>
            <w:gridSpan w:val="8"/>
          </w:tcPr>
          <w:p>
            <w:pPr>
              <w:ind w:left="580"/>
              <w:spacing w:after="0" w:line="203" w:lineRule="exact"/>
              <w:rPr>
                <w:sz w:val="20"/>
                <w:szCs w:val="20"/>
                <w:color w:val="auto"/>
              </w:rPr>
            </w:pPr>
            <w:r>
              <w:rPr>
                <w:rFonts w:ascii="Courier New" w:cs="Courier New" w:eastAsia="Courier New" w:hAnsi="Courier New"/>
                <w:sz w:val="18"/>
                <w:szCs w:val="18"/>
                <w:color w:val="auto"/>
                <w:w w:val="98"/>
              </w:rPr>
              <w:t>securities to which this report relates are:</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4"/>
                <w:szCs w:val="24"/>
                <w:color w:val="auto"/>
              </w:rPr>
            </w:pPr>
          </w:p>
        </w:tc>
        <w:tc>
          <w:tcPr>
            <w:tcW w:w="1160" w:type="dxa"/>
            <w:vAlign w:val="bottom"/>
          </w:tcPr>
          <w:p>
            <w:pPr>
              <w:ind w:left="580"/>
              <w:spacing w:after="0"/>
              <w:rPr>
                <w:sz w:val="20"/>
                <w:szCs w:val="20"/>
                <w:color w:val="auto"/>
              </w:rPr>
            </w:pPr>
            <w:r>
              <w:rPr>
                <w:rFonts w:ascii="Courier New" w:cs="Courier New" w:eastAsia="Courier New" w:hAnsi="Courier New"/>
                <w:sz w:val="18"/>
                <w:szCs w:val="18"/>
                <w:color w:val="auto"/>
              </w:rPr>
              <w:t>NONE</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228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Identification</w:t>
            </w:r>
          </w:p>
        </w:tc>
        <w:tc>
          <w:tcPr>
            <w:tcW w:w="5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86"/>
              </w:rPr>
              <w:t>and</w:t>
            </w:r>
          </w:p>
        </w:tc>
        <w:tc>
          <w:tcPr>
            <w:tcW w:w="1640" w:type="dxa"/>
            <w:vAlign w:val="bottom"/>
            <w:gridSpan w:val="3"/>
          </w:tcPr>
          <w:p>
            <w:pPr>
              <w:spacing w:after="0"/>
              <w:rPr>
                <w:sz w:val="20"/>
                <w:szCs w:val="20"/>
                <w:color w:val="auto"/>
              </w:rPr>
            </w:pPr>
            <w:r>
              <w:rPr>
                <w:rFonts w:ascii="Courier New" w:cs="Courier New" w:eastAsia="Courier New" w:hAnsi="Courier New"/>
                <w:sz w:val="18"/>
                <w:szCs w:val="18"/>
                <w:color w:val="auto"/>
              </w:rPr>
              <w:t>Classification</w:t>
            </w:r>
          </w:p>
        </w:tc>
        <w:tc>
          <w:tcPr>
            <w:tcW w:w="24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of the Subsidiary Which</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80" w:type="dxa"/>
            <w:vAlign w:val="bottom"/>
            <w:gridSpan w:val="8"/>
          </w:tcPr>
          <w:p>
            <w:pPr>
              <w:ind w:left="580"/>
              <w:spacing w:after="0" w:line="203" w:lineRule="exact"/>
              <w:rPr>
                <w:sz w:val="20"/>
                <w:szCs w:val="20"/>
                <w:color w:val="auto"/>
              </w:rPr>
            </w:pPr>
            <w:r>
              <w:rPr>
                <w:rFonts w:ascii="Courier New" w:cs="Courier New" w:eastAsia="Courier New" w:hAnsi="Courier New"/>
                <w:sz w:val="18"/>
                <w:szCs w:val="18"/>
                <w:color w:val="auto"/>
                <w:w w:val="98"/>
              </w:rPr>
              <w:t>Acquired  the  Security  Being  Reported  on</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by the  Parent</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22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7"/>
              </w:rPr>
              <w:t>Holding Company.</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60" w:type="dxa"/>
            <w:vAlign w:val="bottom"/>
            <w:gridSpan w:val="5"/>
          </w:tcPr>
          <w:p>
            <w:pPr>
              <w:ind w:left="480"/>
              <w:spacing w:after="0"/>
              <w:rPr>
                <w:sz w:val="20"/>
                <w:szCs w:val="20"/>
                <w:color w:val="auto"/>
              </w:rPr>
            </w:pPr>
            <w:r>
              <w:rPr>
                <w:rFonts w:ascii="Courier New" w:cs="Courier New" w:eastAsia="Courier New" w:hAnsi="Courier New"/>
                <w:sz w:val="18"/>
                <w:szCs w:val="18"/>
                <w:color w:val="auto"/>
              </w:rPr>
              <w:t>See Exhibit (99.2)</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5280" w:type="dxa"/>
            <w:vAlign w:val="bottom"/>
            <w:gridSpan w:val="8"/>
          </w:tcPr>
          <w:p>
            <w:pPr>
              <w:ind w:left="580"/>
              <w:spacing w:after="0"/>
              <w:rPr>
                <w:sz w:val="20"/>
                <w:szCs w:val="20"/>
                <w:color w:val="auto"/>
              </w:rPr>
            </w:pPr>
            <w:r>
              <w:rPr>
                <w:rFonts w:ascii="Courier New" w:cs="Courier New" w:eastAsia="Courier New" w:hAnsi="Courier New"/>
                <w:sz w:val="18"/>
                <w:szCs w:val="18"/>
                <w:color w:val="auto"/>
                <w:w w:val="98"/>
              </w:rPr>
              <w:t>Identification and Classification of Members</w:t>
            </w:r>
          </w:p>
        </w:tc>
        <w:tc>
          <w:tcPr>
            <w:tcW w:w="1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the Group.</w:t>
            </w: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80" w:type="dxa"/>
            <w:vAlign w:val="bottom"/>
            <w:gridSpan w:val="4"/>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4020" w:type="dxa"/>
            <w:vAlign w:val="bottom"/>
            <w:gridSpan w:val="6"/>
          </w:tcPr>
          <w:p>
            <w:pPr>
              <w:ind w:left="580"/>
              <w:spacing w:after="0"/>
              <w:rPr>
                <w:sz w:val="20"/>
                <w:szCs w:val="20"/>
                <w:color w:val="auto"/>
              </w:rPr>
            </w:pPr>
            <w:r>
              <w:rPr>
                <w:rFonts w:ascii="Courier New" w:cs="Courier New" w:eastAsia="Courier New" w:hAnsi="Courier New"/>
                <w:sz w:val="18"/>
                <w:szCs w:val="18"/>
                <w:color w:val="auto"/>
              </w:rPr>
              <w:t>Notice of Dissolution of Group.</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80" w:type="dxa"/>
            <w:vAlign w:val="bottom"/>
            <w:gridSpan w:val="4"/>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28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Certification.</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2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98"/>
              </w:rPr>
              <w:t>of my knowledge</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80" w:type="dxa"/>
            <w:vAlign w:val="bottom"/>
            <w:gridSpan w:val="8"/>
          </w:tcPr>
          <w:p>
            <w:pPr>
              <w:ind w:left="580"/>
              <w:spacing w:after="0" w:line="203" w:lineRule="exact"/>
              <w:rPr>
                <w:sz w:val="20"/>
                <w:szCs w:val="20"/>
                <w:color w:val="auto"/>
              </w:rPr>
            </w:pPr>
            <w:r>
              <w:rPr>
                <w:rFonts w:ascii="Courier New" w:cs="Courier New" w:eastAsia="Courier New" w:hAnsi="Courier New"/>
                <w:sz w:val="18"/>
                <w:szCs w:val="18"/>
                <w:color w:val="auto"/>
                <w:w w:val="98"/>
              </w:rPr>
              <w:t>By signing below I certify that, to the best</w:t>
            </w:r>
          </w:p>
        </w:tc>
        <w:tc>
          <w:tcPr>
            <w:tcW w:w="16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80" w:type="dxa"/>
            <w:vAlign w:val="bottom"/>
            <w:gridSpan w:val="8"/>
          </w:tcPr>
          <w:p>
            <w:pPr>
              <w:ind w:left="580"/>
              <w:spacing w:after="0" w:line="203" w:lineRule="exact"/>
              <w:rPr>
                <w:sz w:val="20"/>
                <w:szCs w:val="20"/>
                <w:color w:val="auto"/>
              </w:rPr>
            </w:pPr>
            <w:r>
              <w:rPr>
                <w:rFonts w:ascii="Courier New" w:cs="Courier New" w:eastAsia="Courier New" w:hAnsi="Courier New"/>
                <w:sz w:val="18"/>
                <w:szCs w:val="18"/>
                <w:color w:val="auto"/>
                <w:w w:val="98"/>
              </w:rPr>
              <w:t>and belief, the securities referred to above</w:t>
            </w:r>
          </w:p>
        </w:tc>
        <w:tc>
          <w:tcPr>
            <w:tcW w:w="1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were acquired</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6900" w:type="dxa"/>
            <w:vAlign w:val="bottom"/>
            <w:gridSpan w:val="10"/>
          </w:tcPr>
          <w:p>
            <w:pPr>
              <w:ind w:left="580"/>
              <w:spacing w:after="0" w:line="203" w:lineRule="exact"/>
              <w:rPr>
                <w:sz w:val="20"/>
                <w:szCs w:val="20"/>
                <w:color w:val="auto"/>
              </w:rPr>
            </w:pPr>
            <w:r>
              <w:rPr>
                <w:rFonts w:ascii="Courier New" w:cs="Courier New" w:eastAsia="Courier New" w:hAnsi="Courier New"/>
                <w:sz w:val="18"/>
                <w:szCs w:val="18"/>
                <w:color w:val="auto"/>
                <w:w w:val="97"/>
              </w:rPr>
              <w:t>and are held in the ordinary course of business and were not</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80" w:type="dxa"/>
            <w:vAlign w:val="bottom"/>
            <w:gridSpan w:val="8"/>
          </w:tcPr>
          <w:p>
            <w:pPr>
              <w:ind w:left="580"/>
              <w:spacing w:after="0" w:line="203" w:lineRule="exact"/>
              <w:rPr>
                <w:sz w:val="20"/>
                <w:szCs w:val="20"/>
                <w:color w:val="auto"/>
              </w:rPr>
            </w:pPr>
            <w:r>
              <w:rPr>
                <w:rFonts w:ascii="Courier New" w:cs="Courier New" w:eastAsia="Courier New" w:hAnsi="Courier New"/>
                <w:sz w:val="18"/>
                <w:szCs w:val="18"/>
                <w:color w:val="auto"/>
                <w:w w:val="98"/>
              </w:rPr>
              <w:t>acquired and are not held for the purpose of</w:t>
            </w:r>
          </w:p>
        </w:tc>
        <w:tc>
          <w:tcPr>
            <w:tcW w:w="1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or with the</w:t>
            </w:r>
          </w:p>
        </w:tc>
        <w:tc>
          <w:tcPr>
            <w:tcW w:w="0" w:type="dxa"/>
            <w:vAlign w:val="bottom"/>
          </w:tcPr>
          <w:p>
            <w:pPr>
              <w:spacing w:after="0"/>
              <w:rPr>
                <w:sz w:val="1"/>
                <w:szCs w:val="1"/>
                <w:color w:val="auto"/>
              </w:rPr>
            </w:pPr>
          </w:p>
        </w:tc>
      </w:tr>
      <w:tr>
        <w:trPr>
          <w:trHeight w:val="235"/>
        </w:trPr>
        <w:tc>
          <w:tcPr>
            <w:tcW w:w="1420" w:type="dxa"/>
            <w:vAlign w:val="bottom"/>
          </w:tcPr>
          <w:p>
            <w:pPr>
              <w:spacing w:after="0"/>
              <w:rPr>
                <w:sz w:val="20"/>
                <w:szCs w:val="20"/>
                <w:color w:val="auto"/>
              </w:rPr>
            </w:pPr>
          </w:p>
        </w:tc>
        <w:tc>
          <w:tcPr>
            <w:tcW w:w="6900" w:type="dxa"/>
            <w:vAlign w:val="bottom"/>
            <w:gridSpan w:val="10"/>
          </w:tcPr>
          <w:p>
            <w:pPr>
              <w:ind w:left="580"/>
              <w:spacing w:after="0"/>
              <w:rPr>
                <w:sz w:val="20"/>
                <w:szCs w:val="20"/>
                <w:color w:val="auto"/>
              </w:rPr>
            </w:pPr>
            <w:r>
              <w:rPr>
                <w:rFonts w:ascii="Courier New" w:cs="Courier New" w:eastAsia="Courier New" w:hAnsi="Courier New"/>
                <w:sz w:val="18"/>
                <w:szCs w:val="18"/>
                <w:color w:val="auto"/>
                <w:w w:val="98"/>
              </w:rPr>
              <w:t>effect of changing or influencing the control of the issuer</w:t>
            </w:r>
          </w:p>
        </w:tc>
        <w:tc>
          <w:tcPr>
            <w:tcW w:w="0" w:type="dxa"/>
            <w:vAlign w:val="bottom"/>
          </w:tcPr>
          <w:p>
            <w:pPr>
              <w:spacing w:after="0"/>
              <w:rPr>
                <w:sz w:val="1"/>
                <w:szCs w:val="1"/>
                <w:color w:val="auto"/>
              </w:rPr>
            </w:pPr>
          </w:p>
        </w:tc>
      </w:tr>
    </w:tbl>
    <w:p>
      <w:pPr>
        <w:ind w:left="2000" w:right="1919"/>
        <w:spacing w:after="0" w:line="268" w:lineRule="auto"/>
        <w:rPr>
          <w:sz w:val="20"/>
          <w:szCs w:val="20"/>
          <w:color w:val="auto"/>
        </w:rPr>
      </w:pPr>
      <w:r>
        <w:rPr>
          <w:rFonts w:ascii="Courier New" w:cs="Courier New" w:eastAsia="Courier New" w:hAnsi="Courier New"/>
          <w:sz w:val="16"/>
          <w:szCs w:val="16"/>
          <w:color w:val="auto"/>
        </w:rPr>
        <w:t>of the securities and were not acquired and are not held in connection with or as a participant in any transaction having that purpose or effect, other than activities solely</w:t>
      </w:r>
    </w:p>
    <w:p>
      <w:pPr>
        <w:jc w:val="right"/>
        <w:ind w:right="439"/>
        <w:spacing w:after="0"/>
        <w:rPr>
          <w:sz w:val="20"/>
          <w:szCs w:val="20"/>
          <w:color w:val="auto"/>
        </w:rPr>
      </w:pPr>
      <w:r>
        <w:rPr>
          <w:rFonts w:ascii="Courier New" w:cs="Courier New" w:eastAsia="Courier New" w:hAnsi="Courier New"/>
          <w:sz w:val="18"/>
          <w:szCs w:val="18"/>
          <w:color w:val="auto"/>
        </w:rPr>
        <w:t>in connection with a nomination under Section 240.14a-11.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 accordance with the Securities and Exchange Commission Release No. 34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-39538 (January 12, 1998) (the "Release"), this filing reflects the securities</w:t>
      </w:r>
    </w:p>
    <w:p>
      <w:pPr>
        <w:spacing w:after="0" w:line="238" w:lineRule="auto"/>
        <w:rPr>
          <w:sz w:val="20"/>
          <w:szCs w:val="20"/>
          <w:color w:val="auto"/>
        </w:rPr>
      </w:pPr>
      <w:r>
        <w:rPr>
          <w:rFonts w:ascii="Courier New" w:cs="Courier New" w:eastAsia="Courier New" w:hAnsi="Courier New"/>
          <w:sz w:val="18"/>
          <w:szCs w:val="18"/>
          <w:color w:val="auto"/>
        </w:rPr>
        <w:t>beneficially owned by certain operating units (collectively, the "Goldman Sachs</w:t>
      </w:r>
    </w:p>
    <w:p>
      <w:pPr>
        <w:spacing w:after="0" w:line="238" w:lineRule="auto"/>
        <w:rPr>
          <w:sz w:val="20"/>
          <w:szCs w:val="20"/>
          <w:color w:val="auto"/>
        </w:rPr>
      </w:pPr>
      <w:r>
        <w:rPr>
          <w:rFonts w:ascii="Courier New" w:cs="Courier New" w:eastAsia="Courier New" w:hAnsi="Courier New"/>
          <w:sz w:val="18"/>
          <w:szCs w:val="18"/>
          <w:color w:val="auto"/>
        </w:rPr>
        <w:t>Reporting Units") of The Goldman Sachs Group, Inc. and its subsidiaries and</w:t>
      </w:r>
    </w:p>
    <w:p>
      <w:pPr>
        <w:spacing w:after="0"/>
        <w:rPr>
          <w:sz w:val="20"/>
          <w:szCs w:val="20"/>
          <w:color w:val="auto"/>
        </w:rPr>
      </w:pPr>
      <w:r>
        <w:rPr>
          <w:rFonts w:ascii="Courier New" w:cs="Courier New" w:eastAsia="Courier New" w:hAnsi="Courier New"/>
          <w:sz w:val="18"/>
          <w:szCs w:val="18"/>
          <w:color w:val="auto"/>
        </w:rPr>
        <w:t>affiliates (collectively, "GSG"). This filing does not reflect securities, if</w:t>
      </w:r>
    </w:p>
    <w:p>
      <w:pPr>
        <w:spacing w:after="0" w:line="238" w:lineRule="auto"/>
        <w:rPr>
          <w:sz w:val="20"/>
          <w:szCs w:val="20"/>
          <w:color w:val="auto"/>
        </w:rPr>
      </w:pPr>
      <w:r>
        <w:rPr>
          <w:rFonts w:ascii="Courier New" w:cs="Courier New" w:eastAsia="Courier New" w:hAnsi="Courier New"/>
          <w:sz w:val="18"/>
          <w:szCs w:val="18"/>
          <w:color w:val="auto"/>
        </w:rPr>
        <w:t>any, beneficially owned by any operating units of GSG whose ownership of</w:t>
      </w:r>
    </w:p>
    <w:p>
      <w:pPr>
        <w:spacing w:after="0" w:line="238" w:lineRule="auto"/>
        <w:rPr>
          <w:sz w:val="20"/>
          <w:szCs w:val="20"/>
          <w:color w:val="auto"/>
        </w:rPr>
      </w:pPr>
      <w:r>
        <w:rPr>
          <w:rFonts w:ascii="Courier New" w:cs="Courier New" w:eastAsia="Courier New" w:hAnsi="Courier New"/>
          <w:sz w:val="18"/>
          <w:szCs w:val="18"/>
          <w:color w:val="auto"/>
        </w:rPr>
        <w:t>securities is disaggregated from that of the Goldman Sachs Reporting Units in</w:t>
      </w:r>
    </w:p>
    <w:p>
      <w:pPr>
        <w:spacing w:after="0"/>
        <w:rPr>
          <w:sz w:val="20"/>
          <w:szCs w:val="20"/>
          <w:color w:val="auto"/>
        </w:rPr>
      </w:pPr>
      <w:r>
        <w:rPr>
          <w:rFonts w:ascii="Courier New" w:cs="Courier New" w:eastAsia="Courier New" w:hAnsi="Courier New"/>
          <w:sz w:val="18"/>
          <w:szCs w:val="18"/>
          <w:color w:val="auto"/>
        </w:rPr>
        <w:t>accordance with the Release. The Goldman Sachs Reporting Units disclaim</w:t>
      </w:r>
    </w:p>
    <w:p>
      <w:pPr>
        <w:spacing w:after="0" w:line="238" w:lineRule="auto"/>
        <w:rPr>
          <w:sz w:val="20"/>
          <w:szCs w:val="20"/>
          <w:color w:val="auto"/>
        </w:rPr>
      </w:pPr>
      <w:r>
        <w:rPr>
          <w:rFonts w:ascii="Courier New" w:cs="Courier New" w:eastAsia="Courier New" w:hAnsi="Courier New"/>
          <w:sz w:val="18"/>
          <w:szCs w:val="18"/>
          <w:color w:val="auto"/>
        </w:rPr>
        <w:t>beneficial ownership of the securities beneficially owned by (i) any client</w:t>
      </w:r>
    </w:p>
    <w:p>
      <w:pPr>
        <w:spacing w:after="0" w:line="238" w:lineRule="auto"/>
        <w:rPr>
          <w:sz w:val="20"/>
          <w:szCs w:val="20"/>
          <w:color w:val="auto"/>
        </w:rPr>
      </w:pPr>
      <w:r>
        <w:rPr>
          <w:rFonts w:ascii="Courier New" w:cs="Courier New" w:eastAsia="Courier New" w:hAnsi="Courier New"/>
          <w:sz w:val="18"/>
          <w:szCs w:val="18"/>
          <w:color w:val="auto"/>
        </w:rPr>
        <w:t>accounts with respect to which the Goldman Sachs Reporting Units or their</w:t>
      </w:r>
    </w:p>
    <w:p>
      <w:pPr>
        <w:spacing w:after="0"/>
        <w:rPr>
          <w:sz w:val="20"/>
          <w:szCs w:val="20"/>
          <w:color w:val="auto"/>
        </w:rPr>
      </w:pPr>
      <w:r>
        <w:rPr>
          <w:rFonts w:ascii="Courier New" w:cs="Courier New" w:eastAsia="Courier New" w:hAnsi="Courier New"/>
          <w:sz w:val="18"/>
          <w:szCs w:val="18"/>
          <w:color w:val="auto"/>
        </w:rPr>
        <w:t>employees have voting or investment discretion or both, or with respect to</w:t>
      </w:r>
    </w:p>
    <w:p>
      <w:pPr>
        <w:spacing w:after="0" w:line="238" w:lineRule="auto"/>
        <w:rPr>
          <w:sz w:val="20"/>
          <w:szCs w:val="20"/>
          <w:color w:val="auto"/>
        </w:rPr>
      </w:pPr>
      <w:r>
        <w:rPr>
          <w:rFonts w:ascii="Courier New" w:cs="Courier New" w:eastAsia="Courier New" w:hAnsi="Courier New"/>
          <w:sz w:val="18"/>
          <w:szCs w:val="18"/>
          <w:color w:val="auto"/>
        </w:rPr>
        <w:t>which there are limits on their voting or investment authority or both and</w:t>
      </w:r>
    </w:p>
    <w:p>
      <w:pPr>
        <w:ind w:right="2019" w:firstLine="8"/>
        <w:spacing w:after="0" w:line="346" w:lineRule="auto"/>
        <w:tabs>
          <w:tab w:leader="none" w:pos="526"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investment entities of which the Goldman Sachs Reporting Units act as the general partner, managing general partner or other manager, to the</w:t>
      </w:r>
    </w:p>
    <w:p>
      <w:pPr>
        <w:sectPr>
          <w:pgSz w:w="11900" w:h="17038" w:orient="portrait"/>
          <w:cols w:equalWidth="0" w:num="1">
            <w:col w:w="10139"/>
          </w:cols>
          <w:pgMar w:left="320" w:top="488" w:right="1440" w:bottom="0" w:gutter="0" w:footer="0" w:header="0"/>
        </w:sectPr>
      </w:pPr>
    </w:p>
    <w:bookmarkStart w:id="5" w:name="page6"/>
    <w:bookmarkEnd w:id="5"/>
    <w:p>
      <w:pPr>
        <w:ind w:right="2119"/>
        <w:spacing w:after="0" w:line="346" w:lineRule="auto"/>
        <w:rPr>
          <w:sz w:val="20"/>
          <w:szCs w:val="20"/>
          <w:color w:val="auto"/>
        </w:rPr>
      </w:pPr>
      <w:r>
        <w:rPr>
          <w:rFonts w:ascii="Courier New" w:cs="Courier New" w:eastAsia="Courier New" w:hAnsi="Courier New"/>
          <w:sz w:val="18"/>
          <w:szCs w:val="18"/>
          <w:color w:val="auto"/>
        </w:rPr>
        <w:t>extent interests in such entities are held by persons other than the Goldman Sachs Reporting Units.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11</w:t>
      </w:r>
    </w:p>
    <w:p>
      <w:pPr>
        <w:sectPr>
          <w:pgSz w:w="11900" w:h="16838" w:orient="portrait"/>
          <w:cols w:equalWidth="0" w:num="1">
            <w:col w:w="10139"/>
          </w:cols>
          <w:pgMar w:left="320" w:top="110" w:right="1440" w:bottom="1440" w:gutter="0" w:footer="0" w:header="0"/>
        </w:sectPr>
      </w:pPr>
    </w:p>
    <w:bookmarkStart w:id="6" w:name="page7"/>
    <w:bookmarkEnd w:id="6"/>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jc w:val="both"/>
        <w:ind w:left="1280" w:right="2979"/>
        <w:spacing w:after="0" w:line="344"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02, 2023,</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GOLDMAN SACHS GROUP,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Constance Birch</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Constance Birch</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16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&amp; CO. LLC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Constance Birch</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Constance Birch</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200" w:lineRule="exact"/>
        <w:rPr>
          <w:sz w:val="20"/>
          <w:szCs w:val="20"/>
          <w:color w:val="auto"/>
        </w:rPr>
      </w:pPr>
    </w:p>
    <w:p>
      <w:pPr>
        <w:spacing w:after="0" w:line="37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11</w:t>
      </w:r>
    </w:p>
    <w:p>
      <w:pPr>
        <w:sectPr>
          <w:pgSz w:w="11900" w:h="16838" w:orient="portrait"/>
          <w:cols w:equalWidth="0" w:num="1">
            <w:col w:w="10139"/>
          </w:cols>
          <w:pgMar w:left="320" w:top="690"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96"/>
        </w:trPr>
        <w:tc>
          <w:tcPr>
            <w:tcW w:w="1420" w:type="dxa"/>
            <w:vAlign w:val="bottom"/>
          </w:tcPr>
          <w:p>
            <w:pPr>
              <w:spacing w:after="0"/>
              <w:rPr>
                <w:sz w:val="24"/>
                <w:szCs w:val="24"/>
                <w:color w:val="auto"/>
              </w:rPr>
            </w:pPr>
          </w:p>
        </w:tc>
        <w:tc>
          <w:tcPr>
            <w:tcW w:w="3740" w:type="dxa"/>
            <w:vAlign w:val="bottom"/>
          </w:tcPr>
          <w:p>
            <w:pPr>
              <w:ind w:left="1960"/>
              <w:spacing w:after="0"/>
              <w:rPr>
                <w:sz w:val="20"/>
                <w:szCs w:val="20"/>
                <w:color w:val="auto"/>
              </w:rPr>
            </w:pPr>
            <w:r>
              <w:rPr>
                <w:rFonts w:ascii="Courier New" w:cs="Courier New" w:eastAsia="Courier New" w:hAnsi="Courier New"/>
                <w:sz w:val="18"/>
                <w:szCs w:val="18"/>
                <w:color w:val="auto"/>
                <w:w w:val="95"/>
              </w:rPr>
              <w:t>INDEX TO EXHIBITS</w:t>
            </w:r>
          </w:p>
        </w:tc>
        <w:tc>
          <w:tcPr>
            <w:tcW w:w="0" w:type="dxa"/>
            <w:vAlign w:val="bottom"/>
          </w:tcPr>
          <w:p>
            <w:pPr>
              <w:spacing w:after="0"/>
              <w:rPr>
                <w:sz w:val="1"/>
                <w:szCs w:val="1"/>
                <w:color w:val="auto"/>
              </w:rPr>
            </w:pPr>
          </w:p>
        </w:tc>
      </w:tr>
      <w:tr>
        <w:trPr>
          <w:trHeight w:val="716"/>
        </w:trPr>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Exhibit No.</w:t>
            </w:r>
          </w:p>
        </w:tc>
        <w:tc>
          <w:tcPr>
            <w:tcW w:w="3740" w:type="dxa"/>
            <w:vAlign w:val="bottom"/>
          </w:tcPr>
          <w:p>
            <w:pPr>
              <w:ind w:left="1120"/>
              <w:spacing w:after="0"/>
              <w:rPr>
                <w:sz w:val="20"/>
                <w:szCs w:val="20"/>
                <w:color w:val="auto"/>
              </w:rPr>
            </w:pPr>
            <w:r>
              <w:rPr>
                <w:rFonts w:ascii="Courier New" w:cs="Courier New" w:eastAsia="Courier New" w:hAnsi="Courier New"/>
                <w:sz w:val="18"/>
                <w:szCs w:val="18"/>
                <w:color w:val="auto"/>
              </w:rPr>
              <w:t>Exhibit</w:t>
            </w:r>
          </w:p>
        </w:tc>
        <w:tc>
          <w:tcPr>
            <w:tcW w:w="0" w:type="dxa"/>
            <w:vAlign w:val="bottom"/>
          </w:tcPr>
          <w:p>
            <w:pPr>
              <w:spacing w:after="0"/>
              <w:rPr>
                <w:sz w:val="1"/>
                <w:szCs w:val="1"/>
                <w:color w:val="auto"/>
              </w:rPr>
            </w:pPr>
          </w:p>
        </w:tc>
      </w:tr>
      <w:tr>
        <w:trPr>
          <w:trHeight w:val="203"/>
        </w:trPr>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37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99.1</w:t>
            </w: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Joint Filing Agreement</w:t>
            </w:r>
          </w:p>
        </w:tc>
        <w:tc>
          <w:tcPr>
            <w:tcW w:w="0" w:type="dxa"/>
            <w:vAlign w:val="bottom"/>
          </w:tcPr>
          <w:p>
            <w:pPr>
              <w:spacing w:after="0"/>
              <w:rPr>
                <w:sz w:val="1"/>
                <w:szCs w:val="1"/>
                <w:color w:val="auto"/>
              </w:rPr>
            </w:pPr>
          </w:p>
        </w:tc>
      </w:tr>
      <w:tr>
        <w:trPr>
          <w:trHeight w:val="203"/>
        </w:trPr>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99.2</w:t>
            </w: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Item 7 Information</w:t>
            </w:r>
          </w:p>
        </w:tc>
        <w:tc>
          <w:tcPr>
            <w:tcW w:w="0" w:type="dxa"/>
            <w:vAlign w:val="bottom"/>
          </w:tcPr>
          <w:p>
            <w:pPr>
              <w:spacing w:after="0"/>
              <w:rPr>
                <w:sz w:val="1"/>
                <w:szCs w:val="1"/>
                <w:color w:val="auto"/>
              </w:rPr>
            </w:pPr>
          </w:p>
        </w:tc>
      </w:tr>
      <w:tr>
        <w:trPr>
          <w:trHeight w:val="203"/>
        </w:trPr>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99.3</w:t>
            </w: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Power of Attorney, relating to</w:t>
            </w:r>
          </w:p>
        </w:tc>
        <w:tc>
          <w:tcPr>
            <w:tcW w:w="0" w:type="dxa"/>
            <w:vAlign w:val="bottom"/>
          </w:tcPr>
          <w:p>
            <w:pPr>
              <w:spacing w:after="0"/>
              <w:rPr>
                <w:sz w:val="1"/>
                <w:szCs w:val="1"/>
                <w:color w:val="auto"/>
              </w:rPr>
            </w:pPr>
          </w:p>
        </w:tc>
      </w:tr>
      <w:tr>
        <w:trPr>
          <w:trHeight w:val="203"/>
        </w:trPr>
        <w:tc>
          <w:tcPr>
            <w:tcW w:w="1420" w:type="dxa"/>
            <w:vAlign w:val="bottom"/>
            <w:vMerge w:val="restart"/>
          </w:tcPr>
          <w:p>
            <w:pPr>
              <w:jc w:val="right"/>
              <w:ind w:right="692"/>
              <w:spacing w:after="0"/>
              <w:rPr>
                <w:sz w:val="20"/>
                <w:szCs w:val="20"/>
                <w:color w:val="auto"/>
              </w:rPr>
            </w:pPr>
            <w:r>
              <w:rPr>
                <w:rFonts w:ascii="Courier New" w:cs="Courier New" w:eastAsia="Courier New" w:hAnsi="Courier New"/>
                <w:sz w:val="18"/>
                <w:szCs w:val="18"/>
                <w:color w:val="auto"/>
              </w:rPr>
              <w:t>99.4</w:t>
            </w: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THE GOLDMAN SACHS GROUP, INC.</w:t>
            </w:r>
          </w:p>
        </w:tc>
        <w:tc>
          <w:tcPr>
            <w:tcW w:w="0" w:type="dxa"/>
            <w:vAlign w:val="bottom"/>
          </w:tcPr>
          <w:p>
            <w:pPr>
              <w:spacing w:after="0"/>
              <w:rPr>
                <w:sz w:val="1"/>
                <w:szCs w:val="1"/>
                <w:color w:val="auto"/>
              </w:rPr>
            </w:pPr>
          </w:p>
        </w:tc>
      </w:tr>
      <w:tr>
        <w:trPr>
          <w:trHeight w:val="203"/>
        </w:trPr>
        <w:tc>
          <w:tcPr>
            <w:tcW w:w="1420" w:type="dxa"/>
            <w:vAlign w:val="bottom"/>
            <w:vMerge w:val="continue"/>
          </w:tcPr>
          <w:p>
            <w:pPr>
              <w:spacing w:after="0"/>
              <w:rPr>
                <w:sz w:val="17"/>
                <w:szCs w:val="17"/>
                <w:color w:val="auto"/>
              </w:rPr>
            </w:pP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Power of Attorney, relating to</w:t>
            </w: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4"/>
                <w:szCs w:val="24"/>
                <w:color w:val="auto"/>
              </w:rPr>
            </w:pPr>
          </w:p>
        </w:tc>
        <w:tc>
          <w:tcPr>
            <w:tcW w:w="3740" w:type="dxa"/>
            <w:vAlign w:val="bottom"/>
          </w:tcPr>
          <w:p>
            <w:pPr>
              <w:ind w:left="280"/>
              <w:spacing w:after="0"/>
              <w:rPr>
                <w:sz w:val="20"/>
                <w:szCs w:val="20"/>
                <w:color w:val="auto"/>
              </w:rPr>
            </w:pPr>
            <w:r>
              <w:rPr>
                <w:rFonts w:ascii="Courier New" w:cs="Courier New" w:eastAsia="Courier New" w:hAnsi="Courier New"/>
                <w:sz w:val="18"/>
                <w:szCs w:val="18"/>
                <w:color w:val="auto"/>
              </w:rPr>
              <w:t>GOLDMAN SACHS &amp; CO. LLC</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11</w:t>
      </w:r>
    </w:p>
    <w:p>
      <w:pPr>
        <w:sectPr>
          <w:pgSz w:w="11900" w:h="16838" w:orient="portrait"/>
          <w:cols w:equalWidth="0" w:num="1">
            <w:col w:w="10139"/>
          </w:cols>
          <w:pgMar w:left="320" w:top="690" w:right="1440" w:bottom="1440" w:gutter="0" w:footer="0" w:header="0"/>
        </w:sectPr>
      </w:pPr>
    </w:p>
    <w:bookmarkStart w:id="8" w:name="page9"/>
    <w:bookmarkEnd w:id="8"/>
    <w:p>
      <w:pPr>
        <w:jc w:val="right"/>
        <w:ind w:right="169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ind w:right="1819" w:firstLine="421"/>
        <w:spacing w:after="0" w:line="276" w:lineRule="auto"/>
        <w:rPr>
          <w:sz w:val="20"/>
          <w:szCs w:val="20"/>
          <w:color w:val="auto"/>
        </w:rPr>
      </w:pPr>
      <w:r>
        <w:rPr>
          <w:rFonts w:ascii="Courier New" w:cs="Courier New" w:eastAsia="Courier New" w:hAnsi="Courier New"/>
          <w:sz w:val="16"/>
          <w:szCs w:val="16"/>
          <w:color w:val="auto"/>
        </w:rPr>
        <w:t>In accordance with Rule 13d-1(k)(1) promulgated under the Securities Exchange Act of 1934, the undersigned agree to the joint filing of a Statement on Schedule 13G (including any and all amendments thereto) with respect to the Common Stock, par value $0.0001 per share, of OPENDOOR TECHNOLOGIES INC. and further agree to the filing of this agreement as an Exhibit thereto.</w:t>
      </w:r>
    </w:p>
    <w:p>
      <w:pPr>
        <w:spacing w:after="0" w:line="2" w:lineRule="exact"/>
        <w:rPr>
          <w:sz w:val="20"/>
          <w:szCs w:val="20"/>
          <w:color w:val="auto"/>
        </w:rPr>
      </w:pPr>
    </w:p>
    <w:p>
      <w:pPr>
        <w:ind w:right="1699"/>
        <w:spacing w:after="0" w:line="273" w:lineRule="auto"/>
        <w:rPr>
          <w:sz w:val="20"/>
          <w:szCs w:val="20"/>
          <w:color w:val="auto"/>
        </w:rPr>
      </w:pPr>
      <w:r>
        <w:rPr>
          <w:rFonts w:ascii="Courier New" w:cs="Courier New" w:eastAsia="Courier New" w:hAnsi="Courier New"/>
          <w:sz w:val="18"/>
          <w:szCs w:val="18"/>
          <w:color w:val="auto"/>
        </w:rPr>
        <w:t>In addition, each party to this Agreement expressly authorizes each other party to this Agreement to file on its behalf any and all amendments to such Statement on Schedule 13G.</w:t>
      </w:r>
    </w:p>
    <w:p>
      <w:pPr>
        <w:spacing w:after="0" w:line="8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02, 2023,</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GOLDMAN SACHS GROUP,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Constance Birch</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Constance Birch</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16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&amp; CO. LLC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Constance Birch</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Constance Birch</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11</w:t>
      </w:r>
    </w:p>
    <w:p>
      <w:pPr>
        <w:sectPr>
          <w:pgSz w:w="11900" w:h="16838" w:orient="portrait"/>
          <w:cols w:equalWidth="0" w:num="1">
            <w:col w:w="10139"/>
          </w:cols>
          <w:pgMar w:left="320" w:top="488" w:right="1440" w:bottom="1440" w:gutter="0" w:footer="0" w:header="0"/>
        </w:sectPr>
      </w:pPr>
    </w:p>
    <w:bookmarkStart w:id="9" w:name="page10"/>
    <w:bookmarkEnd w:id="9"/>
    <w:p>
      <w:pPr>
        <w:ind w:left="6960"/>
        <w:spacing w:after="0"/>
        <w:rPr>
          <w:sz w:val="20"/>
          <w:szCs w:val="20"/>
          <w:color w:val="auto"/>
        </w:rPr>
      </w:pPr>
      <w:r>
        <w:rPr>
          <w:rFonts w:ascii="Courier New" w:cs="Courier New" w:eastAsia="Courier New" w:hAnsi="Courier New"/>
          <w:sz w:val="16"/>
          <w:szCs w:val="16"/>
          <w:color w:val="auto"/>
        </w:rPr>
        <w:t>EXHIBIT (99.2)</w:t>
      </w:r>
    </w:p>
    <w:p>
      <w:pPr>
        <w:spacing w:after="0" w:line="224"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ITEM 7 INFORMATION</w:t>
      </w:r>
    </w:p>
    <w:p>
      <w:pPr>
        <w:spacing w:after="0" w:line="201" w:lineRule="exact"/>
        <w:rPr>
          <w:sz w:val="20"/>
          <w:szCs w:val="20"/>
          <w:color w:val="auto"/>
        </w:rPr>
      </w:pPr>
    </w:p>
    <w:p>
      <w:pPr>
        <w:ind w:right="1819" w:firstLine="421"/>
        <w:spacing w:after="0" w:line="260" w:lineRule="auto"/>
        <w:rPr>
          <w:sz w:val="20"/>
          <w:szCs w:val="20"/>
          <w:color w:val="auto"/>
        </w:rPr>
      </w:pPr>
      <w:r>
        <w:rPr>
          <w:rFonts w:ascii="Courier New" w:cs="Courier New" w:eastAsia="Courier New" w:hAnsi="Courier New"/>
          <w:sz w:val="18"/>
          <w:szCs w:val="18"/>
          <w:color w:val="auto"/>
        </w:rPr>
        <w:t>The securities 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w:t>
      </w:r>
    </w:p>
    <w:p>
      <w:pPr>
        <w:spacing w:after="0" w:line="9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9 of 11</w:t>
      </w:r>
    </w:p>
    <w:p>
      <w:pPr>
        <w:sectPr>
          <w:pgSz w:w="11900" w:h="16838" w:orient="portrait"/>
          <w:cols w:equalWidth="0" w:num="1">
            <w:col w:w="10139"/>
          </w:cols>
          <w:pgMar w:left="320" w:top="488" w:right="1440" w:bottom="1440" w:gutter="0" w:footer="0" w:header="0"/>
        </w:sectPr>
      </w:pPr>
    </w:p>
    <w:bookmarkStart w:id="10" w:name="page11"/>
    <w:bookmarkEnd w:id="10"/>
    <w:p>
      <w:pPr>
        <w:jc w:val="right"/>
        <w:ind w:right="1699"/>
        <w:spacing w:after="0"/>
        <w:rPr>
          <w:sz w:val="20"/>
          <w:szCs w:val="20"/>
          <w:color w:val="auto"/>
        </w:rPr>
      </w:pPr>
      <w:r>
        <w:rPr>
          <w:rFonts w:ascii="Courier New" w:cs="Courier New" w:eastAsia="Courier New" w:hAnsi="Courier New"/>
          <w:sz w:val="18"/>
          <w:szCs w:val="18"/>
          <w:color w:val="auto"/>
        </w:rPr>
        <w:t>EXHIBIT (99.3)</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2339"/>
        <w:spacing w:after="0" w:line="272" w:lineRule="auto"/>
        <w:rPr>
          <w:sz w:val="20"/>
          <w:szCs w:val="20"/>
          <w:color w:val="auto"/>
        </w:rPr>
      </w:pPr>
      <w:r>
        <w:rPr>
          <w:rFonts w:ascii="Courier New" w:cs="Courier New" w:eastAsia="Courier New" w:hAnsi="Courier New"/>
          <w:sz w:val="16"/>
          <w:szCs w:val="16"/>
          <w:color w:val="auto"/>
        </w:rPr>
        <w:t>KNOW ALL PERSONS BY THESE PRESENTS that THE GOLDMAN SACHS GROUP, INC. (the "Company") does hereby make, constitute and appoint each Melissa Stanford, Stephanie Snyder, Constance Birch, Kateryna Osmachko, Rachel Fraizer, Jamie Minieri, Tony Kelly, Imad Ismail, Terrance Grey, and Kshama Mishra, acting individually, its true and lawful attorney, to execute and deliver in its name and on its behalf, whether the Company is acting individually or as representative of others, any and all filings required to be made by the Company pursuant to Rule 13f-1 or Regulation 13D-G under the Securities Exchange Act of 1934, (as amended, the "Act"), which may be required of the Company with respect to securities which may be deemed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be beneficially owned by the Company under the Act, giving and granting</w:t>
      </w:r>
    </w:p>
    <w:p>
      <w:pPr>
        <w:spacing w:after="0" w:line="238" w:lineRule="auto"/>
        <w:rPr>
          <w:sz w:val="20"/>
          <w:szCs w:val="20"/>
          <w:color w:val="auto"/>
        </w:rPr>
      </w:pPr>
      <w:r>
        <w:rPr>
          <w:rFonts w:ascii="Courier New" w:cs="Courier New" w:eastAsia="Courier New" w:hAnsi="Courier New"/>
          <w:sz w:val="18"/>
          <w:szCs w:val="18"/>
          <w:color w:val="auto"/>
        </w:rPr>
        <w:t>unto each said Attorney-in-fact power and authority to act in the premises</w:t>
      </w:r>
    </w:p>
    <w:p>
      <w:pPr>
        <w:spacing w:after="0" w:line="238" w:lineRule="auto"/>
        <w:rPr>
          <w:sz w:val="20"/>
          <w:szCs w:val="20"/>
          <w:color w:val="auto"/>
        </w:rPr>
      </w:pPr>
      <w:r>
        <w:rPr>
          <w:rFonts w:ascii="Courier New" w:cs="Courier New" w:eastAsia="Courier New" w:hAnsi="Courier New"/>
          <w:sz w:val="18"/>
          <w:szCs w:val="18"/>
          <w:color w:val="auto"/>
        </w:rPr>
        <w:t>as fully and to all intents and purposes as the Company might or could do</w:t>
      </w:r>
    </w:p>
    <w:p>
      <w:pPr>
        <w:spacing w:after="0"/>
        <w:rPr>
          <w:sz w:val="20"/>
          <w:szCs w:val="20"/>
          <w:color w:val="auto"/>
        </w:rPr>
      </w:pPr>
      <w:r>
        <w:rPr>
          <w:rFonts w:ascii="Courier New" w:cs="Courier New" w:eastAsia="Courier New" w:hAnsi="Courier New"/>
          <w:sz w:val="18"/>
          <w:szCs w:val="18"/>
          <w:color w:val="auto"/>
        </w:rPr>
        <w:t>if personally present by one of its authorized signatories, hereby ratifying</w:t>
      </w:r>
    </w:p>
    <w:p>
      <w:pPr>
        <w:spacing w:after="0" w:line="238" w:lineRule="auto"/>
        <w:rPr>
          <w:sz w:val="20"/>
          <w:szCs w:val="20"/>
          <w:color w:val="auto"/>
        </w:rPr>
      </w:pPr>
      <w:r>
        <w:rPr>
          <w:rFonts w:ascii="Courier New" w:cs="Courier New" w:eastAsia="Courier New" w:hAnsi="Courier New"/>
          <w:sz w:val="18"/>
          <w:szCs w:val="18"/>
          <w:color w:val="auto"/>
        </w:rPr>
        <w:t>and confirming all that said Attorney-in-fact shall lawfully do or cause to</w:t>
      </w:r>
    </w:p>
    <w:p>
      <w:pPr>
        <w:spacing w:after="0"/>
        <w:rPr>
          <w:sz w:val="20"/>
          <w:szCs w:val="20"/>
          <w:color w:val="auto"/>
        </w:rPr>
      </w:pPr>
      <w:r>
        <w:rPr>
          <w:rFonts w:ascii="Courier New" w:cs="Courier New" w:eastAsia="Courier New" w:hAnsi="Courier New"/>
          <w:sz w:val="18"/>
          <w:szCs w:val="18"/>
          <w:color w:val="auto"/>
        </w:rPr>
        <w:t>be done by virtue hereof.</w:t>
      </w:r>
    </w:p>
    <w:p>
      <w:pPr>
        <w:spacing w:after="0" w:line="169" w:lineRule="exact"/>
        <w:rPr>
          <w:sz w:val="20"/>
          <w:szCs w:val="20"/>
          <w:color w:val="auto"/>
        </w:rPr>
      </w:pPr>
    </w:p>
    <w:p>
      <w:pPr>
        <w:ind w:right="19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December 8, 2023 unless earlier revoked by written instrument, or in the event an Attorney-in-fact ceases to be an employee of The Goldman Sachs Group, Inc. or one of its affiliates or ceases to perform the function in connection with which he or she was appointed Attorney-in-fact prior to December 8, 2023,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jc w:val="both"/>
        <w:ind w:right="1919"/>
        <w:spacing w:after="0" w:line="292"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Stephanie Snyder, Terry Mosher, Rachel Fraizer, Jamie Minieri, and Terrance Grey on December 1, 2021.</w:t>
      </w:r>
    </w:p>
    <w:p>
      <w:pPr>
        <w:spacing w:after="0" w:line="66" w:lineRule="exact"/>
        <w:rPr>
          <w:sz w:val="20"/>
          <w:szCs w:val="20"/>
          <w:color w:val="auto"/>
        </w:rPr>
      </w:pPr>
    </w:p>
    <w:p>
      <w:pPr>
        <w:jc w:val="both"/>
        <w:ind w:right="1919"/>
        <w:spacing w:after="0" w:line="346" w:lineRule="auto"/>
        <w:rPr>
          <w:sz w:val="20"/>
          <w:szCs w:val="20"/>
          <w:color w:val="auto"/>
        </w:rPr>
      </w:pPr>
      <w:r>
        <w:rPr>
          <w:rFonts w:ascii="Courier New" w:cs="Courier New" w:eastAsia="Courier New" w:hAnsi="Courier New"/>
          <w:sz w:val="18"/>
          <w:szCs w:val="18"/>
          <w:color w:val="auto"/>
        </w:rPr>
        <w:t>IN WITNESS WHERE OF, the under signed has duly subscribed these presents as of December 8, 2022.</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C0.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David Thomas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David Thomas</w:t>
      </w:r>
    </w:p>
    <w:p>
      <w:pPr>
        <w:spacing w:after="0"/>
        <w:rPr>
          <w:sz w:val="20"/>
          <w:szCs w:val="20"/>
          <w:color w:val="auto"/>
        </w:rPr>
      </w:pPr>
      <w:r>
        <w:rPr>
          <w:rFonts w:ascii="Courier New" w:cs="Courier New" w:eastAsia="Courier New" w:hAnsi="Courier New"/>
          <w:sz w:val="18"/>
          <w:szCs w:val="18"/>
          <w:color w:val="auto"/>
        </w:rPr>
        <w:t>Title: Authorized Signatory</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10 of 11</w:t>
      </w:r>
    </w:p>
    <w:p>
      <w:pPr>
        <w:sectPr>
          <w:pgSz w:w="11900" w:h="16838" w:orient="portrait"/>
          <w:cols w:equalWidth="0" w:num="1">
            <w:col w:w="10139"/>
          </w:cols>
          <w:pgMar w:left="320" w:top="488" w:right="1440" w:bottom="1440" w:gutter="0" w:footer="0" w:header="0"/>
        </w:sectPr>
      </w:pPr>
    </w:p>
    <w:bookmarkStart w:id="11" w:name="page12"/>
    <w:bookmarkEnd w:id="11"/>
    <w:p>
      <w:pPr>
        <w:jc w:val="right"/>
        <w:ind w:right="1699"/>
        <w:spacing w:after="0"/>
        <w:rPr>
          <w:sz w:val="20"/>
          <w:szCs w:val="20"/>
          <w:color w:val="auto"/>
        </w:rPr>
      </w:pPr>
      <w:r>
        <w:rPr>
          <w:rFonts w:ascii="Courier New" w:cs="Courier New" w:eastAsia="Courier New" w:hAnsi="Courier New"/>
          <w:sz w:val="18"/>
          <w:szCs w:val="18"/>
          <w:color w:val="auto"/>
        </w:rPr>
        <w:t>EXHIBIT (99.4)</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2979"/>
        <w:spacing w:after="0" w:line="257" w:lineRule="auto"/>
        <w:rPr>
          <w:sz w:val="20"/>
          <w:szCs w:val="20"/>
          <w:color w:val="auto"/>
        </w:rPr>
      </w:pPr>
      <w:r>
        <w:rPr>
          <w:rFonts w:ascii="Courier New" w:cs="Courier New" w:eastAsia="Courier New" w:hAnsi="Courier New"/>
          <w:sz w:val="18"/>
          <w:szCs w:val="18"/>
          <w:color w:val="auto"/>
        </w:rPr>
        <w:t>KNOW ALL PERSONS BY THESE PRESENTS that GOLDMAN SACHS &amp; CO. LLC (the "Company") does hereby make, constitute and appoint each</w:t>
      </w:r>
    </w:p>
    <w:p>
      <w:pPr>
        <w:ind w:right="3699"/>
        <w:spacing w:after="0" w:line="268" w:lineRule="auto"/>
        <w:rPr>
          <w:sz w:val="20"/>
          <w:szCs w:val="20"/>
          <w:color w:val="auto"/>
        </w:rPr>
      </w:pPr>
      <w:r>
        <w:rPr>
          <w:rFonts w:ascii="Courier New" w:cs="Courier New" w:eastAsia="Courier New" w:hAnsi="Courier New"/>
          <w:sz w:val="16"/>
          <w:szCs w:val="16"/>
          <w:color w:val="auto"/>
        </w:rPr>
        <w:t>Melissa Stanford, Stephanie Snyder, Constance Birch, Kateryna Osmachko, Rachel Fraizer, Jamie Minieri, Tony Kelly,</w:t>
      </w:r>
    </w:p>
    <w:p>
      <w:pPr>
        <w:spacing w:after="0" w:line="238" w:lineRule="auto"/>
        <w:rPr>
          <w:sz w:val="20"/>
          <w:szCs w:val="20"/>
          <w:color w:val="auto"/>
        </w:rPr>
      </w:pPr>
      <w:r>
        <w:rPr>
          <w:rFonts w:ascii="Courier New" w:cs="Courier New" w:eastAsia="Courier New" w:hAnsi="Courier New"/>
          <w:sz w:val="18"/>
          <w:szCs w:val="18"/>
          <w:color w:val="auto"/>
        </w:rPr>
        <w:t>Imad Ismail, Terrance Grey, and Kshama Mishra, acting individually,</w:t>
      </w:r>
    </w:p>
    <w:p>
      <w:pPr>
        <w:ind w:right="2239"/>
        <w:spacing w:after="0" w:line="268" w:lineRule="auto"/>
        <w:rPr>
          <w:sz w:val="20"/>
          <w:szCs w:val="20"/>
          <w:color w:val="auto"/>
        </w:rPr>
      </w:pPr>
      <w:r>
        <w:rPr>
          <w:rFonts w:ascii="Courier New" w:cs="Courier New" w:eastAsia="Courier New" w:hAnsi="Courier New"/>
          <w:sz w:val="16"/>
          <w:szCs w:val="16"/>
          <w:color w:val="auto"/>
        </w:rPr>
        <w:t>its true and lawful attorney, to execute and deliver in its name and on its behalf, whether the Company is acting individually or as representative</w:t>
      </w:r>
    </w:p>
    <w:p>
      <w:pPr>
        <w:ind w:right="1919"/>
        <w:spacing w:after="0" w:line="246" w:lineRule="auto"/>
        <w:rPr>
          <w:sz w:val="20"/>
          <w:szCs w:val="20"/>
          <w:color w:val="auto"/>
        </w:rPr>
      </w:pPr>
      <w:r>
        <w:rPr>
          <w:rFonts w:ascii="Courier New" w:cs="Courier New" w:eastAsia="Courier New" w:hAnsi="Courier New"/>
          <w:sz w:val="18"/>
          <w:szCs w:val="18"/>
          <w:color w:val="auto"/>
        </w:rPr>
        <w:t>of others, any and all filings required to be made by the Company pursuant to Rule 13f-1 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314" w:lineRule="exact"/>
        <w:rPr>
          <w:sz w:val="20"/>
          <w:szCs w:val="20"/>
          <w:color w:val="auto"/>
        </w:rPr>
      </w:pPr>
    </w:p>
    <w:p>
      <w:pPr>
        <w:ind w:right="19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December 8, 2023 unless earlier revoked by written instrument, or in the event an Attorney-in-fact ceases to be an employee of The Goldman Sachs Group, Inc. or one of its affiliates or ceases to perform the function in connection with which he or she was appointed Attorney-in-fact prior to December 8, 2023,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92"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Stephanie Snyder, Terry Mosher, Rachel Fraizer, Jamie Minieri, and Terrance Grey on December 1, 2021.</w:t>
      </w:r>
    </w:p>
    <w:p>
      <w:pPr>
        <w:spacing w:after="0" w:line="66"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December 8, 2022.</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C0. LLC</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David Thomas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David Thomas</w:t>
      </w:r>
    </w:p>
    <w:p>
      <w:pPr>
        <w:spacing w:after="0"/>
        <w:rPr>
          <w:sz w:val="20"/>
          <w:szCs w:val="20"/>
          <w:color w:val="auto"/>
        </w:rPr>
      </w:pPr>
      <w:r>
        <w:rPr>
          <w:rFonts w:ascii="Courier New" w:cs="Courier New" w:eastAsia="Courier New" w:hAnsi="Courier New"/>
          <w:sz w:val="18"/>
          <w:szCs w:val="18"/>
          <w:color w:val="auto"/>
        </w:rPr>
        <w:t>Title: Authorized Signatory</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11 of 11</w:t>
      </w:r>
    </w:p>
    <w:sectPr>
      <w:pgSz w:w="11900" w:h="16838" w:orient="portrait"/>
      <w:cols w:equalWidth="0" w:num="1">
        <w:col w:w="10139"/>
      </w:cols>
      <w:pgMar w:left="320" w:top="4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4"/>
    </w:lvl>
  </w:abstractNum>
  <w:abstractNum w:abstractNumId="3">
    <w:nsid w:val="515F007C"/>
    <w:multiLevelType w:val="hybridMultilevel"/>
    <w:lvl w:ilvl="0">
      <w:lvlJc w:val="left"/>
      <w:lvlText w:val="%1."/>
      <w:numFmt w:val="decimal"/>
      <w:start w:val="9"/>
    </w:lvl>
  </w:abstractNum>
  <w:abstractNum w:abstractNumId="4">
    <w:nsid w:val="5BD062C2"/>
    <w:multiLevelType w:val="hybridMultilevel"/>
    <w:lvl w:ilvl="0">
      <w:lvlJc w:val="left"/>
      <w:lvlText w:val="%1."/>
      <w:numFmt w:val="decimal"/>
      <w:start w:val="10"/>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9"/>
    </w:lvl>
  </w:abstractNum>
  <w:abstractNum w:abstractNumId="9">
    <w:nsid w:val="1190CDE7"/>
    <w:multiLevelType w:val="hybridMultilevel"/>
    <w:lvl w:ilvl="0">
      <w:lvlJc w:val="left"/>
      <w:lvlText w:val="%1."/>
      <w:numFmt w:val="decimal"/>
      <w:start w:val="10"/>
    </w:lvl>
  </w:abstractNum>
  <w:abstractNum w:abstractNumId="10">
    <w:nsid w:val="66EF438D"/>
    <w:multiLevelType w:val="hybridMultilevel"/>
    <w:lvl w:ilvl="0">
      <w:lvlJc w:val="left"/>
      <w:lvlText w:val="%1."/>
      <w:numFmt w:val="decimal"/>
      <w:start w:val="11"/>
    </w:lvl>
  </w:abstractNum>
  <w:abstractNum w:abstractNumId="11">
    <w:nsid w:val="140E0F76"/>
    <w:multiLevelType w:val="hybridMultilevel"/>
    <w:lvl w:ilvl="0">
      <w:lvlJc w:val="left"/>
      <w:lvlText w:val="%1."/>
      <w:numFmt w:val="decimal"/>
      <w:start w:val="12"/>
    </w:lvl>
  </w:abstractNum>
  <w:abstractNum w:abstractNumId="12">
    <w:nsid w:val="335225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2023-02-08T14:10:44Z</dcterms:created>
  <dcterms:modified xsi:type="dcterms:W3CDTF">2023-02-08T14:10:44Z</dcterms:modified>
</cp:coreProperties>
</file>