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333-251529</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2</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January 12, 2021)</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OPENDOOR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24130</wp:posOffset>
            </wp:positionV>
            <wp:extent cx="353187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318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This prospectus supplement updates, amends and supplements the prospectus dated January 12, 2021 (the “</w:t>
      </w:r>
      <w:r>
        <w:rPr>
          <w:rFonts w:ascii="Arial" w:cs="Arial" w:eastAsia="Arial" w:hAnsi="Arial"/>
          <w:sz w:val="18"/>
          <w:szCs w:val="18"/>
          <w:i w:val="1"/>
          <w:iCs w:val="1"/>
          <w:color w:val="auto"/>
        </w:rPr>
        <w:t>Prospectus</w:t>
      </w:r>
      <w:r>
        <w:rPr>
          <w:rFonts w:ascii="Arial" w:cs="Arial" w:eastAsia="Arial" w:hAnsi="Arial"/>
          <w:sz w:val="18"/>
          <w:szCs w:val="18"/>
          <w:color w:val="auto"/>
        </w:rPr>
        <w:t>”), which forms a part of our Registration Statement on Form S-1 (Registration No. 333-251529). Capitalized terms used in this prospectus supplement and not otherwise defined herein have the meanings specified in the Prospectus.</w:t>
      </w:r>
    </w:p>
    <w:p>
      <w:pPr>
        <w:spacing w:after="0" w:line="18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This prospectus supplement is being filed to update, amend and supplement the information included in the Prospectus with the information contained in our Current Report on Form 8-K filed with the SEC on February 11, 2021, which is set forth below.</w:t>
      </w:r>
    </w:p>
    <w:p>
      <w:pPr>
        <w:spacing w:after="0" w:line="170"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Opendoor Technologies Inc.’s common stock and warrants are quoted on the Nasdaq Global Select Market under the symbols “OPEN” and “OPENW,” respectively. On February 9, 2021, the closing prices of our common stock and warrants were $31.10 and $17.60, respectively.</w:t>
      </w:r>
    </w:p>
    <w:p>
      <w:pPr>
        <w:spacing w:after="0" w:line="166"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INVESTING IN OUR SECURITIES INVOLVES CERTAIN RISKS. SEE “RISK FACTORS” BEGINNING ON PAGE 6 OF THE PROSPECTUS.</w:t>
      </w:r>
    </w:p>
    <w:p>
      <w:pPr>
        <w:spacing w:after="0" w:line="162" w:lineRule="exact"/>
        <w:rPr>
          <w:sz w:val="24"/>
          <w:szCs w:val="24"/>
          <w:color w:val="auto"/>
        </w:rPr>
      </w:pPr>
    </w:p>
    <w:p>
      <w:pPr>
        <w:jc w:val="both"/>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February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February 11, 2021 (February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Opendoor Technologies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05"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400"/>
        <w:spacing w:after="0"/>
        <w:rPr>
          <w:sz w:val="20"/>
          <w:szCs w:val="20"/>
          <w:color w:val="auto"/>
        </w:rPr>
      </w:pPr>
      <w:r>
        <w:rPr>
          <w:rFonts w:ascii="Arial" w:cs="Arial" w:eastAsia="Arial" w:hAnsi="Arial"/>
          <w:sz w:val="18"/>
          <w:szCs w:val="18"/>
          <w:b w:val="1"/>
          <w:bCs w:val="1"/>
          <w:color w:val="auto"/>
        </w:rPr>
        <w:t>001-39253</w:t>
      </w:r>
    </w:p>
    <w:p>
      <w:pPr>
        <w:spacing w:after="0" w:line="27" w:lineRule="exact"/>
        <w:rPr>
          <w:sz w:val="20"/>
          <w:szCs w:val="20"/>
          <w:color w:val="auto"/>
        </w:rPr>
      </w:pPr>
    </w:p>
    <w:p>
      <w:pPr>
        <w:jc w:val="center"/>
        <w:ind w:right="140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98-1515020</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0"/>
          <w:szCs w:val="20"/>
          <w:color w:val="auto"/>
        </w:rPr>
      </w:pPr>
    </w:p>
    <w:p>
      <w:pPr>
        <w:sectPr>
          <w:pgSz w:w="11900" w:h="16838" w:orient="portrait"/>
          <w:cols w:equalWidth="0" w:num="3">
            <w:col w:w="3920" w:space="720"/>
            <w:col w:w="3400" w:space="720"/>
            <w:col w:w="2480"/>
          </w:cols>
          <w:pgMar w:left="320" w:top="1440" w:right="339"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410 N. Scottsdale Road, Suite 1600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Tempe, Arizona 85281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(415) 896-6737</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Title of Each Class</w:t>
            </w:r>
          </w:p>
        </w:tc>
        <w:tc>
          <w:tcPr>
            <w:tcW w:w="2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par value $0.001 per share</w:t>
            </w:r>
          </w:p>
        </w:tc>
        <w:tc>
          <w:tcPr>
            <w:tcW w:w="220" w:type="dxa"/>
            <w:vAlign w:val="bottom"/>
          </w:tcPr>
          <w:p>
            <w:pPr>
              <w:spacing w:after="0"/>
              <w:rPr>
                <w:sz w:val="16"/>
                <w:szCs w:val="16"/>
                <w:color w:val="auto"/>
              </w:rPr>
            </w:pPr>
          </w:p>
        </w:tc>
        <w:tc>
          <w:tcPr>
            <w:tcW w:w="2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OPEN</w:t>
            </w:r>
          </w:p>
        </w:tc>
        <w:tc>
          <w:tcPr>
            <w:tcW w:w="220" w:type="dxa"/>
            <w:vAlign w:val="bottom"/>
          </w:tcPr>
          <w:p>
            <w:pPr>
              <w:spacing w:after="0"/>
              <w:rPr>
                <w:sz w:val="16"/>
                <w:szCs w:val="16"/>
                <w:color w:val="auto"/>
              </w:rPr>
            </w:pPr>
          </w:p>
        </w:tc>
        <w:tc>
          <w:tcPr>
            <w:tcW w:w="4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Nasdaq Global Select Market</w:t>
            </w:r>
          </w:p>
        </w:tc>
      </w:tr>
      <w:tr>
        <w:trPr>
          <w:trHeight w:val="230"/>
        </w:trPr>
        <w:tc>
          <w:tcPr>
            <w:tcW w:w="39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Warrants</w:t>
            </w:r>
          </w:p>
        </w:tc>
        <w:tc>
          <w:tcPr>
            <w:tcW w:w="28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OPENW</w:t>
            </w:r>
          </w:p>
        </w:tc>
        <w:tc>
          <w:tcPr>
            <w:tcW w:w="448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767715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February 9, 2021, Opendoor Technologies Inc. (the “Company”) completed an underwritten public offering (the “Offering”) of 28,536,888 shares (the “Firm Shares”) of its common stock, par value $0.0001 per share (the “Common Stock”), pursuant to the terms of an Underwriting Agreement (the “Underwriting Agreement”), dated February 4, 2021, with Citigroup Global Markets Inc. and Goldman Sachs &amp; Co. LLC, as representatives (the “Representatives”) of the several underwriters named therein. On February 9, 2021, the Representatives exercised in full the option granted to them in the Underwriting Agreement to purchase up to 4,280,533 additional shares (the “Option Shares”) of Common Stock, and the sale of the Option Shares was completed on February 11, 2021. In total, including the Firm Shares and the Option Shares, the Company sold 32,817,421 shares of its Common Stock at a public offering price of $27.00 per share for a total offering size of approximately $886.1 million.</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shares of Common Stock in the Offering were offered on a prospectus filed as part of the Registration Statement on Form S-1 (Commission File No. 333-252666), which was declared effective by the Securities and Exchange Commission on February 4, 2021, as amended by the Registration Statement on Form S-1 (Commission File No. 333-252748), filed pursuant to Rule 462(b) of the Securities Act of 1933, as amended, on February 4, 2021. The Company received aggregate proceeds from the Offering of approximately $859.5 million (net of underwriting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b w:val="1"/>
                <w:bCs w:val="1"/>
                <w:color w:val="auto"/>
              </w:rPr>
              <w:t>OPENDOOR TECHNOLOGIES INC.</w:t>
            </w:r>
          </w:p>
        </w:tc>
      </w:tr>
      <w:tr>
        <w:trPr>
          <w:trHeight w:val="648"/>
        </w:trPr>
        <w:tc>
          <w:tcPr>
            <w:tcW w:w="3760" w:type="dxa"/>
            <w:vAlign w:val="bottom"/>
          </w:tcPr>
          <w:p>
            <w:pPr>
              <w:spacing w:after="0"/>
              <w:rPr>
                <w:sz w:val="20"/>
                <w:szCs w:val="20"/>
                <w:color w:val="auto"/>
              </w:rPr>
            </w:pPr>
            <w:r>
              <w:rPr>
                <w:rFonts w:ascii="Arial" w:cs="Arial" w:eastAsia="Arial" w:hAnsi="Arial"/>
                <w:sz w:val="18"/>
                <w:szCs w:val="18"/>
                <w:color w:val="auto"/>
              </w:rPr>
              <w:t>Date:  February 11, 2021</w:t>
            </w:r>
          </w:p>
        </w:tc>
        <w:tc>
          <w:tcPr>
            <w:tcW w:w="7480" w:type="dxa"/>
            <w:vAlign w:val="bottom"/>
            <w:gridSpan w:val="2"/>
          </w:tcPr>
          <w:p>
            <w:pPr>
              <w:ind w:left="1880"/>
              <w:spacing w:after="0"/>
              <w:rPr>
                <w:sz w:val="20"/>
                <w:szCs w:val="20"/>
                <w:color w:val="auto"/>
              </w:rPr>
            </w:pPr>
            <w:r>
              <w:rPr>
                <w:rFonts w:ascii="Arial" w:cs="Arial" w:eastAsia="Arial" w:hAnsi="Arial"/>
                <w:sz w:val="18"/>
                <w:szCs w:val="18"/>
                <w:color w:val="auto"/>
              </w:rPr>
              <w:t>By: /s/ Carrie Wheeler</w:t>
            </w:r>
          </w:p>
        </w:tc>
      </w:tr>
      <w:tr>
        <w:trPr>
          <w:trHeight w:val="195"/>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Carrie Wheeler</w:t>
            </w:r>
          </w:p>
        </w:tc>
      </w:tr>
      <w:tr>
        <w:trPr>
          <w:trHeight w:val="230"/>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675"/>
        </w:trPr>
        <w:tc>
          <w:tcPr>
            <w:tcW w:w="3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2021-02-11T15:20:56Z</dcterms:created>
  <dcterms:modified xsi:type="dcterms:W3CDTF">2021-02-11T15:20:56Z</dcterms:modified>
</cp:coreProperties>
</file>