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28, 2025</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Opendoor Technologies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920" w:type="dxa"/>
        <w:tblCellMar>
          <w:top w:w="0" w:type="dxa"/>
          <w:left w:w="0" w:type="dxa"/>
          <w:bottom w:w="0" w:type="dxa"/>
          <w:right w:w="0" w:type="dxa"/>
        </w:tblCellMar>
      </w:tblPr>
      <w:tr>
        <w:trPr>
          <w:trHeight w:val="238"/>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001-39253</w:t>
            </w:r>
          </w:p>
        </w:tc>
        <w:tc>
          <w:tcPr>
            <w:tcW w:w="19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30-1318214</w:t>
            </w:r>
          </w:p>
        </w:tc>
      </w:tr>
      <w:tr>
        <w:trPr>
          <w:trHeight w:val="252"/>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4"/>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b w:val="1"/>
                <w:bCs w:val="1"/>
                <w:color w:val="auto"/>
              </w:rPr>
              <w:t>410 N. Scottsdale Road, Suite 1000</w:t>
            </w:r>
          </w:p>
        </w:tc>
        <w:tc>
          <w:tcPr>
            <w:tcW w:w="1920" w:type="dxa"/>
            <w:vAlign w:val="bottom"/>
          </w:tcPr>
          <w:p>
            <w:pPr>
              <w:spacing w:after="0"/>
              <w:rPr>
                <w:sz w:val="24"/>
                <w:szCs w:val="24"/>
                <w:color w:val="auto"/>
              </w:rPr>
            </w:pPr>
          </w:p>
        </w:tc>
      </w:tr>
      <w:tr>
        <w:trPr>
          <w:trHeight w:val="270"/>
        </w:trPr>
        <w:tc>
          <w:tcPr>
            <w:tcW w:w="2060" w:type="dxa"/>
            <w:vAlign w:val="bottom"/>
          </w:tcPr>
          <w:p>
            <w:pPr>
              <w:spacing w:after="0"/>
              <w:rPr>
                <w:sz w:val="23"/>
                <w:szCs w:val="23"/>
                <w:color w:val="auto"/>
              </w:rPr>
            </w:pPr>
          </w:p>
        </w:tc>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Tempe, AZ</w:t>
            </w:r>
          </w:p>
        </w:tc>
        <w:tc>
          <w:tcPr>
            <w:tcW w:w="19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85288</w:t>
            </w:r>
          </w:p>
        </w:tc>
      </w:tr>
      <w:tr>
        <w:trPr>
          <w:trHeight w:val="270"/>
        </w:trPr>
        <w:tc>
          <w:tcPr>
            <w:tcW w:w="7200" w:type="dxa"/>
            <w:vAlign w:val="bottom"/>
            <w:gridSpan w:val="2"/>
          </w:tcPr>
          <w:p>
            <w:pPr>
              <w:jc w:val="center"/>
              <w:ind w:right="1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r>
      <w:tr>
        <w:trPr>
          <w:trHeight w:val="468"/>
        </w:trPr>
        <w:tc>
          <w:tcPr>
            <w:tcW w:w="2060" w:type="dxa"/>
            <w:vAlign w:val="bottom"/>
          </w:tcPr>
          <w:p>
            <w:pPr>
              <w:spacing w:after="0"/>
              <w:rPr>
                <w:sz w:val="24"/>
                <w:szCs w:val="24"/>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(480) 618-6760</w:t>
            </w:r>
          </w:p>
        </w:tc>
        <w:tc>
          <w:tcPr>
            <w:tcW w:w="1920" w:type="dxa"/>
            <w:vAlign w:val="bottom"/>
          </w:tcPr>
          <w:p>
            <w:pPr>
              <w:spacing w:after="0"/>
              <w:rPr>
                <w:sz w:val="24"/>
                <w:szCs w:val="24"/>
                <w:color w:val="auto"/>
              </w:rPr>
            </w:pPr>
          </w:p>
        </w:tc>
      </w:tr>
      <w:tr>
        <w:trPr>
          <w:trHeight w:val="234"/>
        </w:trPr>
        <w:tc>
          <w:tcPr>
            <w:tcW w:w="2060" w:type="dxa"/>
            <w:vAlign w:val="bottom"/>
          </w:tcPr>
          <w:p>
            <w:pPr>
              <w:spacing w:after="0"/>
              <w:rPr>
                <w:sz w:val="20"/>
                <w:szCs w:val="20"/>
                <w:color w:val="auto"/>
              </w:rPr>
            </w:pPr>
          </w:p>
        </w:tc>
        <w:tc>
          <w:tcPr>
            <w:tcW w:w="51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920" w:type="dxa"/>
            <w:vAlign w:val="bottom"/>
          </w:tcPr>
          <w:p>
            <w:pPr>
              <w:spacing w:after="0"/>
              <w:rPr>
                <w:sz w:val="20"/>
                <w:szCs w:val="20"/>
                <w:color w:val="auto"/>
              </w:rPr>
            </w:pPr>
          </w:p>
        </w:tc>
      </w:tr>
    </w:tbl>
    <w:p>
      <w:pPr>
        <w:spacing w:after="0" w:line="18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410 N. Scottsdale Road, Suite 1600</w:t>
      </w:r>
    </w:p>
    <w:p>
      <w:pPr>
        <w:spacing w:after="0" w:line="36" w:lineRule="exact"/>
        <w:rPr>
          <w:sz w:val="24"/>
          <w:szCs w:val="24"/>
          <w:color w:val="auto"/>
        </w:rPr>
      </w:pPr>
    </w:p>
    <w:p>
      <w:pPr>
        <w:ind w:left="4800"/>
        <w:spacing w:after="0"/>
        <w:tabs>
          <w:tab w:leader="none" w:pos="5860" w:val="left"/>
        </w:tabs>
        <w:rPr>
          <w:sz w:val="20"/>
          <w:szCs w:val="20"/>
          <w:color w:val="auto"/>
        </w:rPr>
      </w:pPr>
      <w:r>
        <w:rPr>
          <w:rFonts w:ascii="Times New Roman" w:cs="Times New Roman" w:eastAsia="Times New Roman" w:hAnsi="Times New Roman"/>
          <w:sz w:val="18"/>
          <w:szCs w:val="18"/>
          <w:b w:val="1"/>
          <w:bCs w:val="1"/>
          <w:color w:val="auto"/>
        </w:rPr>
        <w:t>Tempe, AZ</w:t>
      </w:r>
      <w:r>
        <w:rPr>
          <w:sz w:val="20"/>
          <w:szCs w:val="20"/>
          <w:color w:val="auto"/>
        </w:rPr>
        <w:tab/>
      </w:r>
      <w:r>
        <w:rPr>
          <w:rFonts w:ascii="Times New Roman" w:cs="Times New Roman" w:eastAsia="Times New Roman" w:hAnsi="Times New Roman"/>
          <w:sz w:val="17"/>
          <w:szCs w:val="17"/>
          <w:b w:val="1"/>
          <w:bCs w:val="1"/>
          <w:color w:val="auto"/>
        </w:rPr>
        <w:t>85288</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7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60" w:type="dxa"/>
            <w:vAlign w:val="bottom"/>
          </w:tcPr>
          <w:p>
            <w:pPr>
              <w:spacing w:after="0"/>
              <w:rPr>
                <w:sz w:val="20"/>
                <w:szCs w:val="20"/>
                <w:color w:val="auto"/>
              </w:rPr>
            </w:pPr>
          </w:p>
        </w:tc>
      </w:tr>
      <w:tr>
        <w:trPr>
          <w:trHeight w:val="356"/>
        </w:trPr>
        <w:tc>
          <w:tcPr>
            <w:tcW w:w="4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4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OPEN</w:t>
            </w:r>
          </w:p>
        </w:tc>
        <w:tc>
          <w:tcPr>
            <w:tcW w:w="3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28, 2025, Opendoor Technologies Inc. (the “Company”) received written notice (the “Notice”) from the Listing Qualifications Department (the “Staff”) of The Nasdaq Stock Market LLC (“Nasdaq”) notifying the Company that, because the closing bid price for the Company’s common stock, par value $0.0001 per share (the “Common Stock”), has fallen below $1.00 per share for 30 consecutive business days, the Company no longer meets the minimum bid price requirement for continued listing on the Nasdaq Global Select Market pursuant to Nasdaq Listing Rule 5450(a)(1) (the “Bid Price Requirement”). The Notice has no immediate effect on the listing or trading of the Company’s Common Stock, which continues to trade on the Nasdaq Global Select Market under the symbol “OPEN.” The Notice also does not affect the Company’s ongoing business operations or its reporting requirements with the Securities and Exchange Commission.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Nasdaq Listing Rule 5810(c)(3)(A) (the “Compliance Period Rule”), the Company has been provided an initial period of 180 calendar days, or until November 24, 2025 (the “Compliance Date”), to regain compliance with the Bid Price Requirement. To regain compliance, the closing bid price of the Company’s Common Stock must be at least $1.00 per share for a minimum of 10 consecutive business days during the 180-day compliance period as required under the Compliance Period Rule (unless the Staff exercises its discretion to extend this ten-day period pursuant to Nasdaq Listing Rule 5810(c)</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(3)(H)).</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Company does not regain compliance with the Bid Price Requirement by the Compliance Date, the Company may be eligible for an additional 180 calendar day compliance period. To qualify, the Company would need to transfer the listing of its Common Stock to the Nasdaq Capital Market and meet the continued listing requirement for the market value of publicly held shares and all other initial listing standards, with the exception of the Bid Price Requirement. To effect such a transfer, the Company would also need to pay an application fee to Nasdaq and would need to provide written notice to the Staff of the Company’s intention to cure the deficiency during the additional compliance period, for example, by implementing a reverse stock split, if necessary.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Staff concludes that the Company will not be able to cure the deficiency during such additional compliance period, or if the Company does not regain compliance with the Bid Price Requirement within any such additional 180 calendar day compliance period, the Staff will provide written notification to the Company that the Company’s Common Stock will be subject to delisting. At that time, the Company may appeal the Staff’s delisting determination to a Nasdaq Hearings Panel (the “Panel”). However, there can be no assurance that, if the Company receives a delisting notice and appeals the delisting determination by the Staff to the Panel, such appeal would be successful.</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intends to monitor the closing bid price of its Common Stock and will consider all available options to regain compliance with the Bid Price Requirement, including potentially seeking to effect a reverse stock split. However, there can be no assurance that the Company will be able to regain compliance with the Bid Price Requirement by the Compliance Date or that the Staff will grant the Company a further extension of time to regain compliance, if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(“Form 8-K”) contains certain forward-looking statements within the meaning of Section 27A the Private Securities Litigation Reform Act of 1995, as amended. All statements contained in this Form 8-K that do not relate to matters of historical fact should be considered forward-looking, including statements regarding the Company’s intention to monitor the closing bid price of its Common Stock and consider all available options, including a reverse stock split, to regain compliance with the Bid Price Requirement; and the Company’s potential eligibility for an additional 180 calendar day compliance period. These forward-looking statements generally are identified by the words “anticipate”, “believe”, “contemplate”, “continue”, “could”, “estimate”, “expect”, “forecast”, “future”, “guidance”, “intend”, “may”, “might”, “opportunity”, “outlook”, “plan”, “possible”, “potential”, “predict”, “project”, “should”, “strategy”, “strive”, “target”, “vision”, “will”, or “would”, any negative of these words or other similar terms or expressions.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that can cause actual results to differ materially from those in such forward-looking statements. The factors that could cause or contribute to actual future events to differ materially from the forward-looking statements in this Form 8-K include but are not limited to: whether the Company will meet the bid price requirement during any compliance period or otherwise in the future, whether the Company will otherwise meet Nasdaq compliance standards, whether Nasdaq will grant the Company any relief from delisting as necessary, or whether the Company can agree to or ultimately meet applicable Nasdaq requirements for any such relief, and the other risks and uncertainties described under the caption “Risk Factors” in the Company’s most recent Annual Report on Form 10-K filed with the Securities and Exchange Commission (the “SEC”) on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 w:name="page3"/>
    <w:bookmarkEnd w:id="2"/>
    <w:p>
      <w:pPr>
        <w:jc w:val="both"/>
        <w:spacing w:after="0" w:line="258" w:lineRule="auto"/>
        <w:rPr>
          <w:sz w:val="20"/>
          <w:szCs w:val="20"/>
          <w:color w:val="auto"/>
        </w:rPr>
      </w:pPr>
      <w:r>
        <w:rPr>
          <w:rFonts w:ascii="Times New Roman" w:cs="Times New Roman" w:eastAsia="Times New Roman" w:hAnsi="Times New Roman"/>
          <w:sz w:val="18"/>
          <w:szCs w:val="18"/>
          <w:color w:val="auto"/>
        </w:rPr>
        <w:t>February 27, 2025, as updated by its periodic reports and other filings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 The Company does not give any assurance that it will achieve its expectations.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 w:name="page4"/>
    <w:bookmarkEnd w:id="3"/>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00" w:type="dxa"/>
            <w:vAlign w:val="bottom"/>
            <w:gridSpan w:val="2"/>
          </w:tcPr>
          <w:p>
            <w:pPr>
              <w:ind w:left="2300"/>
              <w:spacing w:after="0"/>
              <w:rPr>
                <w:sz w:val="20"/>
                <w:szCs w:val="20"/>
                <w:color w:val="auto"/>
              </w:rPr>
            </w:pPr>
            <w:r>
              <w:rPr>
                <w:rFonts w:ascii="Times New Roman" w:cs="Times New Roman" w:eastAsia="Times New Roman" w:hAnsi="Times New Roman"/>
                <w:sz w:val="18"/>
                <w:szCs w:val="18"/>
                <w:color w:val="auto"/>
              </w:rPr>
              <w:t>Opendoor Technologies Inc.</w:t>
            </w:r>
          </w:p>
        </w:tc>
      </w:tr>
      <w:tr>
        <w:trPr>
          <w:trHeight w:val="48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May 30, 2025</w:t>
            </w: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Carrie Wheeler</w:t>
            </w:r>
          </w:p>
        </w:tc>
      </w:tr>
      <w:tr>
        <w:trPr>
          <w:trHeight w:val="218"/>
        </w:trPr>
        <w:tc>
          <w:tcPr>
            <w:tcW w:w="3720" w:type="dxa"/>
            <w:vAlign w:val="bottom"/>
          </w:tcPr>
          <w:p>
            <w:pPr>
              <w:spacing w:after="0"/>
              <w:rPr>
                <w:sz w:val="18"/>
                <w:szCs w:val="18"/>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Carrie Wheeler</w:t>
            </w:r>
          </w:p>
        </w:tc>
      </w:tr>
      <w:tr>
        <w:trPr>
          <w:trHeight w:val="234"/>
        </w:trPr>
        <w:tc>
          <w:tcPr>
            <w:tcW w:w="3720" w:type="dxa"/>
            <w:vAlign w:val="bottom"/>
          </w:tcPr>
          <w:p>
            <w:pPr>
              <w:spacing w:after="0"/>
              <w:rPr>
                <w:sz w:val="20"/>
                <w:szCs w:val="20"/>
                <w:color w:val="auto"/>
              </w:rPr>
            </w:pPr>
          </w:p>
        </w:tc>
        <w:tc>
          <w:tcPr>
            <w:tcW w:w="314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240"/>
      </w:cols>
      <w:pgMar w:left="320" w:top="12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2025-05-30T15:18:15Z</dcterms:created>
  <dcterms:modified xsi:type="dcterms:W3CDTF">2025-05-30T15:18:15Z</dcterms:modified>
</cp:coreProperties>
</file>