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295910</wp:posOffset>
            </wp:positionV>
            <wp:extent cx="1491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Schedule 13G</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(Rule 13d-102)</w:t>
      </w:r>
    </w:p>
    <w:p>
      <w:pPr>
        <w:spacing w:after="0" w:line="206" w:lineRule="exact"/>
        <w:rPr>
          <w:sz w:val="24"/>
          <w:szCs w:val="24"/>
          <w:color w:val="auto"/>
        </w:rPr>
      </w:pPr>
    </w:p>
    <w:p>
      <w:pPr>
        <w:jc w:val="center"/>
        <w:ind w:left="360" w:right="2780"/>
        <w:spacing w:after="0" w:line="243" w:lineRule="auto"/>
        <w:rPr>
          <w:sz w:val="20"/>
          <w:szCs w:val="20"/>
          <w:color w:val="auto"/>
        </w:rPr>
      </w:pPr>
      <w:r>
        <w:rPr>
          <w:rFonts w:ascii="Arial" w:cs="Arial" w:eastAsia="Arial" w:hAnsi="Arial"/>
          <w:sz w:val="22"/>
          <w:szCs w:val="22"/>
          <w:b w:val="1"/>
          <w:bCs w:val="1"/>
          <w:color w:val="auto"/>
        </w:rPr>
        <w:t>Information to be Included in Statements Filed Pursuant to § 240.13d-1(b), (c) and (d) and Amendments Thereto Filed Pursuant to § 240.13d-2</w:t>
      </w:r>
    </w:p>
    <w:p>
      <w:pPr>
        <w:spacing w:after="0" w:line="17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304165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Opendoor Technologies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683712103</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18, 2020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296545</wp:posOffset>
            </wp:positionV>
            <wp:extent cx="1491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460" w:right="220" w:hanging="452"/>
        <w:spacing w:after="0" w:line="308"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1" w:name="page2"/>
    <w:bookmarkEnd w:id="1"/>
    <w:p>
      <w:pPr>
        <w:spacing w:after="0"/>
        <w:tabs>
          <w:tab w:leader="none" w:pos="5340" w:val="left"/>
          <w:tab w:leader="none" w:pos="10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81578P106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1 of 9</w:t>
      </w:r>
    </w:p>
    <w:p>
      <w:pPr>
        <w:spacing w:after="0" w:line="171" w:lineRule="exact"/>
        <w:rPr>
          <w:sz w:val="20"/>
          <w:szCs w:val="20"/>
          <w:color w:val="auto"/>
        </w:rPr>
      </w:pPr>
    </w:p>
    <w:p>
      <w:pPr>
        <w:ind w:left="620" w:hanging="36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40575" cy="5220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5220970"/>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SVF Excalibur (Cayman) Limited</w:t>
      </w:r>
    </w:p>
    <w:p>
      <w:pPr>
        <w:spacing w:after="0" w:line="36" w:lineRule="exact"/>
        <w:rPr>
          <w:sz w:val="20"/>
          <w:szCs w:val="20"/>
          <w:color w:val="auto"/>
        </w:rPr>
      </w:pPr>
    </w:p>
    <w:p>
      <w:pPr>
        <w:ind w:left="620" w:hanging="36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0"/>
        <w:spacing w:after="0" w:line="207" w:lineRule="exact"/>
        <w:tabs>
          <w:tab w:leader="none" w:pos="14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6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right="8000" w:hanging="365"/>
        <w:spacing w:after="0" w:line="406"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ind w:left="404" w:hanging="404"/>
        <w:spacing w:after="0"/>
        <w:tabs>
          <w:tab w:leader="none" w:pos="404"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p>
      <w:pPr>
        <w:ind w:left="404"/>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404" w:hanging="404"/>
        <w:spacing w:after="0"/>
        <w:tabs>
          <w:tab w:leader="none" w:pos="4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52" w:lineRule="exact"/>
        <w:rPr>
          <w:sz w:val="20"/>
          <w:szCs w:val="20"/>
          <w:color w:val="auto"/>
        </w:rPr>
      </w:pPr>
    </w:p>
    <w:p>
      <w:pPr>
        <w:ind w:left="404"/>
        <w:spacing w:after="0"/>
        <w:rPr>
          <w:sz w:val="20"/>
          <w:szCs w:val="20"/>
          <w:color w:val="auto"/>
        </w:rPr>
      </w:pPr>
      <w:r>
        <w:rPr>
          <w:rFonts w:ascii="Arial" w:cs="Arial" w:eastAsia="Arial" w:hAnsi="Arial"/>
          <w:sz w:val="18"/>
          <w:szCs w:val="18"/>
          <w:color w:val="auto"/>
        </w:rPr>
        <w:t>73,620,282</w:t>
      </w:r>
    </w:p>
    <w:p>
      <w:pPr>
        <w:spacing w:after="0" w:line="36" w:lineRule="exact"/>
        <w:rPr>
          <w:sz w:val="20"/>
          <w:szCs w:val="20"/>
          <w:color w:val="auto"/>
        </w:rPr>
      </w:pPr>
    </w:p>
    <w:p>
      <w:pPr>
        <w:ind w:left="404" w:hanging="404"/>
        <w:spacing w:after="0"/>
        <w:tabs>
          <w:tab w:leader="none" w:pos="4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52" w:lineRule="exact"/>
        <w:rPr>
          <w:sz w:val="20"/>
          <w:szCs w:val="20"/>
          <w:color w:val="auto"/>
        </w:rPr>
      </w:pPr>
    </w:p>
    <w:p>
      <w:pPr>
        <w:ind w:left="404"/>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404" w:right="7740" w:hanging="404"/>
        <w:spacing w:after="0" w:line="406" w:lineRule="auto"/>
        <w:tabs>
          <w:tab w:leader="none" w:pos="4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Dispositive Power 73,620,282</w:t>
      </w:r>
    </w:p>
    <w:p>
      <w:pPr>
        <w:spacing w:after="0" w:line="2" w:lineRule="exact"/>
        <w:rPr>
          <w:sz w:val="20"/>
          <w:szCs w:val="20"/>
          <w:color w:val="auto"/>
        </w:rPr>
      </w:pPr>
    </w:p>
    <w:p>
      <w:pPr>
        <w:sectPr>
          <w:pgSz w:w="11900" w:h="16838" w:orient="portrait"/>
          <w:cols w:equalWidth="0" w:num="2">
            <w:col w:w="1080" w:space="156"/>
            <w:col w:w="10004"/>
          </w:cols>
          <w:pgMar w:left="320" w:top="274" w:right="339" w:bottom="1440" w:gutter="0" w:footer="0" w:header="0"/>
          <w:type w:val="continuous"/>
        </w:sectPr>
      </w:pPr>
    </w:p>
    <w:p>
      <w:pPr>
        <w:ind w:left="620" w:hanging="365"/>
        <w:spacing w:after="0"/>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w:t>
      </w:r>
    </w:p>
    <w:p>
      <w:pPr>
        <w:spacing w:after="0" w:line="27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73,620,282</w:t>
      </w:r>
    </w:p>
    <w:p>
      <w:pPr>
        <w:spacing w:after="0" w:line="36" w:lineRule="exact"/>
        <w:rPr>
          <w:sz w:val="20"/>
          <w:szCs w:val="20"/>
          <w:color w:val="auto"/>
        </w:rPr>
      </w:pPr>
    </w:p>
    <w:p>
      <w:pPr>
        <w:ind w:left="620" w:right="5680" w:hanging="455"/>
        <w:spacing w:after="0" w:line="406"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Not Applicable</w:t>
      </w:r>
    </w:p>
    <w:p>
      <w:pPr>
        <w:spacing w:after="0" w:line="1" w:lineRule="exact"/>
        <w:rPr>
          <w:rFonts w:ascii="Arial" w:cs="Arial" w:eastAsia="Arial" w:hAnsi="Arial"/>
          <w:sz w:val="18"/>
          <w:szCs w:val="18"/>
          <w:color w:val="auto"/>
        </w:rPr>
      </w:pPr>
    </w:p>
    <w:p>
      <w:pPr>
        <w:ind w:left="620" w:right="6940" w:hanging="455"/>
        <w:spacing w:after="0" w:line="406"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 13.5%</w:t>
      </w:r>
    </w:p>
    <w:p>
      <w:pPr>
        <w:spacing w:after="0" w:line="1" w:lineRule="exact"/>
        <w:rPr>
          <w:rFonts w:ascii="Arial" w:cs="Arial" w:eastAsia="Arial" w:hAnsi="Arial"/>
          <w:sz w:val="18"/>
          <w:szCs w:val="18"/>
          <w:color w:val="auto"/>
        </w:rPr>
      </w:pPr>
    </w:p>
    <w:p>
      <w:pPr>
        <w:ind w:left="620" w:hanging="455"/>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CO</w:t>
      </w:r>
    </w:p>
    <w:p>
      <w:pPr>
        <w:sectPr>
          <w:pgSz w:w="11900" w:h="16838" w:orient="portrait"/>
          <w:cols w:equalWidth="0" w:num="1">
            <w:col w:w="11240"/>
          </w:cols>
          <w:pgMar w:left="320" w:top="274" w:right="339" w:bottom="1440" w:gutter="0" w:footer="0" w:header="0"/>
          <w:type w:val="continuous"/>
        </w:sectPr>
      </w:pPr>
    </w:p>
    <w:bookmarkStart w:id="2" w:name="page3"/>
    <w:bookmarkEnd w:id="2"/>
    <w:p>
      <w:pPr>
        <w:spacing w:after="0"/>
        <w:tabs>
          <w:tab w:leader="none" w:pos="5340" w:val="left"/>
          <w:tab w:leader="none" w:pos="10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81578P106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2 of 9</w:t>
      </w:r>
    </w:p>
    <w:p>
      <w:pPr>
        <w:spacing w:after="0" w:line="171" w:lineRule="exact"/>
        <w:rPr>
          <w:sz w:val="20"/>
          <w:szCs w:val="20"/>
          <w:color w:val="auto"/>
        </w:rPr>
      </w:pPr>
    </w:p>
    <w:p>
      <w:pPr>
        <w:ind w:left="620" w:hanging="365"/>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40575"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0575" cy="522033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SVF Endurance (Cayman) Limited</w:t>
      </w:r>
    </w:p>
    <w:p>
      <w:pPr>
        <w:spacing w:after="0" w:line="36" w:lineRule="exact"/>
        <w:rPr>
          <w:sz w:val="20"/>
          <w:szCs w:val="20"/>
          <w:color w:val="auto"/>
        </w:rPr>
      </w:pPr>
    </w:p>
    <w:p>
      <w:pPr>
        <w:ind w:left="620" w:hanging="365"/>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0"/>
        <w:spacing w:after="0" w:line="207" w:lineRule="exact"/>
        <w:tabs>
          <w:tab w:leader="none" w:pos="14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65"/>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right="8000" w:hanging="365"/>
        <w:spacing w:after="0" w:line="406"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ind w:left="404" w:hanging="404"/>
        <w:spacing w:after="0"/>
        <w:tabs>
          <w:tab w:leader="none" w:pos="4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p>
      <w:pPr>
        <w:ind w:left="404"/>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404" w:hanging="404"/>
        <w:spacing w:after="0"/>
        <w:tabs>
          <w:tab w:leader="none" w:pos="4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52" w:lineRule="exact"/>
        <w:rPr>
          <w:sz w:val="20"/>
          <w:szCs w:val="20"/>
          <w:color w:val="auto"/>
        </w:rPr>
      </w:pPr>
    </w:p>
    <w:p>
      <w:pPr>
        <w:ind w:left="404"/>
        <w:spacing w:after="0"/>
        <w:rPr>
          <w:sz w:val="20"/>
          <w:szCs w:val="20"/>
          <w:color w:val="auto"/>
        </w:rPr>
      </w:pPr>
      <w:r>
        <w:rPr>
          <w:rFonts w:ascii="Arial" w:cs="Arial" w:eastAsia="Arial" w:hAnsi="Arial"/>
          <w:sz w:val="18"/>
          <w:szCs w:val="18"/>
          <w:color w:val="auto"/>
        </w:rPr>
        <w:t>73,620,282</w:t>
      </w:r>
    </w:p>
    <w:p>
      <w:pPr>
        <w:spacing w:after="0" w:line="36" w:lineRule="exact"/>
        <w:rPr>
          <w:sz w:val="20"/>
          <w:szCs w:val="20"/>
          <w:color w:val="auto"/>
        </w:rPr>
      </w:pPr>
    </w:p>
    <w:p>
      <w:pPr>
        <w:ind w:left="404" w:hanging="404"/>
        <w:spacing w:after="0"/>
        <w:tabs>
          <w:tab w:leader="none" w:pos="4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52" w:lineRule="exact"/>
        <w:rPr>
          <w:sz w:val="20"/>
          <w:szCs w:val="20"/>
          <w:color w:val="auto"/>
        </w:rPr>
      </w:pPr>
    </w:p>
    <w:p>
      <w:pPr>
        <w:ind w:left="404"/>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404" w:right="7740" w:hanging="404"/>
        <w:spacing w:after="0" w:line="406" w:lineRule="auto"/>
        <w:tabs>
          <w:tab w:leader="none" w:pos="4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Shared Dispositive Power 73,620,282</w:t>
      </w:r>
    </w:p>
    <w:p>
      <w:pPr>
        <w:spacing w:after="0" w:line="2" w:lineRule="exact"/>
        <w:rPr>
          <w:sz w:val="20"/>
          <w:szCs w:val="20"/>
          <w:color w:val="auto"/>
        </w:rPr>
      </w:pPr>
    </w:p>
    <w:p>
      <w:pPr>
        <w:sectPr>
          <w:pgSz w:w="11900" w:h="16838" w:orient="portrait"/>
          <w:cols w:equalWidth="0" w:num="2">
            <w:col w:w="1080" w:space="156"/>
            <w:col w:w="10004"/>
          </w:cols>
          <w:pgMar w:left="320" w:top="274" w:right="339" w:bottom="1440" w:gutter="0" w:footer="0" w:header="0"/>
          <w:type w:val="continuous"/>
        </w:sectPr>
      </w:pPr>
    </w:p>
    <w:p>
      <w:pPr>
        <w:ind w:left="620" w:hanging="365"/>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w:t>
      </w:r>
    </w:p>
    <w:p>
      <w:pPr>
        <w:spacing w:after="0" w:line="27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73,620,282</w:t>
      </w:r>
    </w:p>
    <w:p>
      <w:pPr>
        <w:spacing w:after="0" w:line="36" w:lineRule="exact"/>
        <w:rPr>
          <w:sz w:val="20"/>
          <w:szCs w:val="20"/>
          <w:color w:val="auto"/>
        </w:rPr>
      </w:pPr>
    </w:p>
    <w:p>
      <w:pPr>
        <w:ind w:left="620" w:right="5680" w:hanging="455"/>
        <w:spacing w:after="0" w:line="406" w:lineRule="auto"/>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Not Applicable</w:t>
      </w:r>
    </w:p>
    <w:p>
      <w:pPr>
        <w:spacing w:after="0" w:line="1" w:lineRule="exact"/>
        <w:rPr>
          <w:rFonts w:ascii="Arial" w:cs="Arial" w:eastAsia="Arial" w:hAnsi="Arial"/>
          <w:sz w:val="18"/>
          <w:szCs w:val="18"/>
          <w:color w:val="auto"/>
        </w:rPr>
      </w:pPr>
    </w:p>
    <w:p>
      <w:pPr>
        <w:ind w:left="620" w:right="6940" w:hanging="455"/>
        <w:spacing w:after="0" w:line="406" w:lineRule="auto"/>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Percent of Class Represented by Amount in Row 9 13.5%</w:t>
      </w:r>
    </w:p>
    <w:p>
      <w:pPr>
        <w:spacing w:after="0" w:line="1" w:lineRule="exact"/>
        <w:rPr>
          <w:rFonts w:ascii="Arial" w:cs="Arial" w:eastAsia="Arial" w:hAnsi="Arial"/>
          <w:sz w:val="18"/>
          <w:szCs w:val="18"/>
          <w:color w:val="auto"/>
        </w:rPr>
      </w:pPr>
    </w:p>
    <w:p>
      <w:pPr>
        <w:ind w:left="620" w:hanging="455"/>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CO</w:t>
      </w:r>
    </w:p>
    <w:p>
      <w:pPr>
        <w:sectPr>
          <w:pgSz w:w="11900" w:h="16838" w:orient="portrait"/>
          <w:cols w:equalWidth="0" w:num="1">
            <w:col w:w="11240"/>
          </w:cols>
          <w:pgMar w:left="320" w:top="274" w:right="339" w:bottom="1440" w:gutter="0" w:footer="0" w:header="0"/>
          <w:type w:val="continuous"/>
        </w:sectPr>
      </w:pPr>
    </w:p>
    <w:bookmarkStart w:id="3" w:name="page4"/>
    <w:bookmarkEnd w:id="3"/>
    <w:p>
      <w:pPr>
        <w:spacing w:after="0"/>
        <w:tabs>
          <w:tab w:leader="none" w:pos="5340" w:val="left"/>
          <w:tab w:leader="none" w:pos="10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81578P106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3 of 9</w:t>
      </w:r>
    </w:p>
    <w:p>
      <w:pPr>
        <w:spacing w:after="0" w:line="171" w:lineRule="exact"/>
        <w:rPr>
          <w:sz w:val="20"/>
          <w:szCs w:val="20"/>
          <w:color w:val="auto"/>
        </w:rPr>
      </w:pPr>
    </w:p>
    <w:p>
      <w:pPr>
        <w:ind w:left="620" w:hanging="365"/>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40575" cy="5220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0575" cy="5220970"/>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SoftBank Vision Fund (AIV M1) L.P.</w:t>
      </w:r>
    </w:p>
    <w:p>
      <w:pPr>
        <w:spacing w:after="0" w:line="36" w:lineRule="exact"/>
        <w:rPr>
          <w:sz w:val="20"/>
          <w:szCs w:val="20"/>
          <w:color w:val="auto"/>
        </w:rPr>
      </w:pPr>
    </w:p>
    <w:p>
      <w:pPr>
        <w:ind w:left="620" w:hanging="365"/>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0"/>
        <w:spacing w:after="0" w:line="207" w:lineRule="exact"/>
        <w:tabs>
          <w:tab w:leader="none" w:pos="14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65"/>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65"/>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220" w:type="dxa"/>
        <w:tblCellMar>
          <w:top w:w="0" w:type="dxa"/>
          <w:left w:w="0" w:type="dxa"/>
          <w:bottom w:w="0" w:type="dxa"/>
          <w:right w:w="0" w:type="dxa"/>
        </w:tblCellMar>
      </w:tblPr>
      <w:tr>
        <w:trPr>
          <w:trHeight w:val="244"/>
        </w:trPr>
        <w:tc>
          <w:tcPr>
            <w:tcW w:w="90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60" w:type="dxa"/>
            <w:vAlign w:val="bottom"/>
            <w:tcBorders>
              <w:bottom w:val="single" w:sz="8" w:color="auto"/>
            </w:tcBorders>
          </w:tcPr>
          <w:p>
            <w:pPr>
              <w:spacing w:after="0"/>
              <w:rPr>
                <w:sz w:val="21"/>
                <w:szCs w:val="21"/>
                <w:color w:val="auto"/>
              </w:rPr>
            </w:pPr>
          </w:p>
        </w:tc>
        <w:tc>
          <w:tcPr>
            <w:tcW w:w="97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90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7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94"/>
              </w:rPr>
              <w:t>Beneficially</w:t>
            </w:r>
          </w:p>
        </w:tc>
        <w:tc>
          <w:tcPr>
            <w:tcW w:w="360" w:type="dxa"/>
            <w:vAlign w:val="bottom"/>
          </w:tcPr>
          <w:p>
            <w:pPr>
              <w:spacing w:after="0"/>
              <w:rPr>
                <w:sz w:val="18"/>
                <w:szCs w:val="18"/>
                <w:color w:val="auto"/>
              </w:rPr>
            </w:pPr>
          </w:p>
        </w:tc>
        <w:tc>
          <w:tcPr>
            <w:tcW w:w="9780" w:type="dxa"/>
            <w:vAlign w:val="bottom"/>
            <w:vMerge w:val="restart"/>
          </w:tcPr>
          <w:p>
            <w:pPr>
              <w:ind w:left="160"/>
              <w:spacing w:after="0"/>
              <w:rPr>
                <w:sz w:val="20"/>
                <w:szCs w:val="20"/>
                <w:color w:val="auto"/>
              </w:rPr>
            </w:pPr>
            <w:r>
              <w:rPr>
                <w:rFonts w:ascii="Arial" w:cs="Arial" w:eastAsia="Arial" w:hAnsi="Arial"/>
                <w:sz w:val="18"/>
                <w:szCs w:val="18"/>
                <w:color w:val="auto"/>
              </w:rPr>
              <w:t>73,620,282</w:t>
            </w:r>
          </w:p>
        </w:tc>
        <w:tc>
          <w:tcPr>
            <w:tcW w:w="0" w:type="dxa"/>
            <w:vAlign w:val="bottom"/>
          </w:tcPr>
          <w:p>
            <w:pPr>
              <w:spacing w:after="0"/>
              <w:rPr>
                <w:sz w:val="1"/>
                <w:szCs w:val="1"/>
                <w:color w:val="auto"/>
              </w:rPr>
            </w:pPr>
          </w:p>
        </w:tc>
      </w:tr>
      <w:tr>
        <w:trPr>
          <w:trHeight w:val="230"/>
        </w:trPr>
        <w:tc>
          <w:tcPr>
            <w:tcW w:w="90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60" w:type="dxa"/>
            <w:vAlign w:val="bottom"/>
            <w:tcBorders>
              <w:bottom w:val="single" w:sz="8" w:color="auto"/>
            </w:tcBorders>
          </w:tcPr>
          <w:p>
            <w:pPr>
              <w:spacing w:after="0"/>
              <w:rPr>
                <w:sz w:val="20"/>
                <w:szCs w:val="20"/>
                <w:color w:val="auto"/>
              </w:rPr>
            </w:pPr>
          </w:p>
        </w:tc>
        <w:tc>
          <w:tcPr>
            <w:tcW w:w="97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0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7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6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00" w:type="dxa"/>
            <w:vAlign w:val="bottom"/>
          </w:tcPr>
          <w:p>
            <w:pPr>
              <w:jc w:val="center"/>
              <w:spacing w:after="0"/>
              <w:rPr>
                <w:sz w:val="20"/>
                <w:szCs w:val="20"/>
                <w:color w:val="auto"/>
              </w:rPr>
            </w:pPr>
            <w:r>
              <w:rPr>
                <w:rFonts w:ascii="Arial" w:cs="Arial" w:eastAsia="Arial" w:hAnsi="Arial"/>
                <w:sz w:val="18"/>
                <w:szCs w:val="18"/>
                <w:color w:val="auto"/>
                <w:w w:val="87"/>
              </w:rPr>
              <w:t>Person</w:t>
            </w:r>
          </w:p>
        </w:tc>
        <w:tc>
          <w:tcPr>
            <w:tcW w:w="360" w:type="dxa"/>
            <w:vAlign w:val="bottom"/>
          </w:tcPr>
          <w:p>
            <w:pPr>
              <w:spacing w:after="0"/>
              <w:rPr>
                <w:sz w:val="18"/>
                <w:szCs w:val="18"/>
                <w:color w:val="auto"/>
              </w:rPr>
            </w:pPr>
          </w:p>
        </w:tc>
        <w:tc>
          <w:tcPr>
            <w:tcW w:w="978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4"/>
              </w:rPr>
              <w:t>With</w:t>
            </w:r>
          </w:p>
        </w:tc>
        <w:tc>
          <w:tcPr>
            <w:tcW w:w="360" w:type="dxa"/>
            <w:vAlign w:val="bottom"/>
            <w:tcBorders>
              <w:bottom w:val="single" w:sz="8" w:color="auto"/>
            </w:tcBorders>
          </w:tcPr>
          <w:p>
            <w:pPr>
              <w:spacing w:after="0"/>
              <w:rPr>
                <w:sz w:val="5"/>
                <w:szCs w:val="5"/>
                <w:color w:val="auto"/>
              </w:rPr>
            </w:pPr>
          </w:p>
        </w:tc>
        <w:tc>
          <w:tcPr>
            <w:tcW w:w="9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7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73,620,282</w:t>
      </w:r>
    </w:p>
    <w:p>
      <w:pPr>
        <w:spacing w:after="0" w:line="36" w:lineRule="exact"/>
        <w:rPr>
          <w:sz w:val="20"/>
          <w:szCs w:val="20"/>
          <w:color w:val="auto"/>
        </w:rPr>
      </w:pPr>
    </w:p>
    <w:p>
      <w:pPr>
        <w:ind w:left="620" w:hanging="365"/>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73,620,282</w:t>
      </w:r>
    </w:p>
    <w:p>
      <w:pPr>
        <w:spacing w:after="0" w:line="36" w:lineRule="exact"/>
        <w:rPr>
          <w:sz w:val="20"/>
          <w:szCs w:val="20"/>
          <w:color w:val="auto"/>
        </w:rPr>
      </w:pPr>
    </w:p>
    <w:p>
      <w:pPr>
        <w:ind w:left="620" w:right="5700" w:hanging="455"/>
        <w:spacing w:after="0" w:line="406" w:lineRule="auto"/>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Not Applicable</w:t>
      </w:r>
    </w:p>
    <w:p>
      <w:pPr>
        <w:spacing w:after="0" w:line="1" w:lineRule="exact"/>
        <w:rPr>
          <w:rFonts w:ascii="Arial" w:cs="Arial" w:eastAsia="Arial" w:hAnsi="Arial"/>
          <w:sz w:val="18"/>
          <w:szCs w:val="18"/>
          <w:color w:val="auto"/>
        </w:rPr>
      </w:pPr>
    </w:p>
    <w:p>
      <w:pPr>
        <w:ind w:left="620" w:right="6960" w:hanging="455"/>
        <w:spacing w:after="0" w:line="406" w:lineRule="auto"/>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Percent of Class Represented by Amount in Row 9 13.5%</w:t>
      </w:r>
    </w:p>
    <w:p>
      <w:pPr>
        <w:spacing w:after="0" w:line="1" w:lineRule="exact"/>
        <w:rPr>
          <w:rFonts w:ascii="Arial" w:cs="Arial" w:eastAsia="Arial" w:hAnsi="Arial"/>
          <w:sz w:val="18"/>
          <w:szCs w:val="18"/>
          <w:color w:val="auto"/>
        </w:rPr>
      </w:pPr>
    </w:p>
    <w:p>
      <w:pPr>
        <w:ind w:left="620" w:hanging="455"/>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PN</w:t>
      </w:r>
    </w:p>
    <w:p>
      <w:pPr>
        <w:sectPr>
          <w:pgSz w:w="11900" w:h="16838" w:orient="portrait"/>
          <w:cols w:equalWidth="0" w:num="1">
            <w:col w:w="11260"/>
          </w:cols>
          <w:pgMar w:left="320" w:top="274" w:right="319" w:bottom="1440" w:gutter="0" w:footer="0" w:header="0"/>
        </w:sectPr>
      </w:pPr>
    </w:p>
    <w:bookmarkStart w:id="4" w:name="page5"/>
    <w:bookmarkEnd w:id="4"/>
    <w:p>
      <w:pPr>
        <w:spacing w:after="0"/>
        <w:tabs>
          <w:tab w:leader="none" w:pos="5340" w:val="left"/>
          <w:tab w:leader="none" w:pos="10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81578P106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4 of 9</w:t>
      </w:r>
    </w:p>
    <w:p>
      <w:pPr>
        <w:spacing w:after="0" w:line="171" w:lineRule="exact"/>
        <w:rPr>
          <w:sz w:val="20"/>
          <w:szCs w:val="20"/>
          <w:color w:val="auto"/>
        </w:rPr>
      </w:pPr>
    </w:p>
    <w:p>
      <w:pPr>
        <w:ind w:left="620" w:hanging="365"/>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40575" cy="522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522033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SB Investment Advisers (UK) Limited</w:t>
      </w:r>
    </w:p>
    <w:p>
      <w:pPr>
        <w:spacing w:after="0" w:line="36" w:lineRule="exact"/>
        <w:rPr>
          <w:sz w:val="20"/>
          <w:szCs w:val="20"/>
          <w:color w:val="auto"/>
        </w:rPr>
      </w:pPr>
    </w:p>
    <w:p>
      <w:pPr>
        <w:ind w:left="620" w:hanging="365"/>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0"/>
        <w:spacing w:after="0" w:line="207" w:lineRule="exact"/>
        <w:tabs>
          <w:tab w:leader="none" w:pos="14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65"/>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65"/>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England and Wales</w:t>
      </w:r>
    </w:p>
    <w:p>
      <w:pPr>
        <w:spacing w:after="0" w:line="36"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220" w:type="dxa"/>
        <w:tblCellMar>
          <w:top w:w="0" w:type="dxa"/>
          <w:left w:w="0" w:type="dxa"/>
          <w:bottom w:w="0" w:type="dxa"/>
          <w:right w:w="0" w:type="dxa"/>
        </w:tblCellMar>
      </w:tblPr>
      <w:tr>
        <w:trPr>
          <w:trHeight w:val="244"/>
        </w:trPr>
        <w:tc>
          <w:tcPr>
            <w:tcW w:w="90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60" w:type="dxa"/>
            <w:vAlign w:val="bottom"/>
            <w:tcBorders>
              <w:bottom w:val="single" w:sz="8" w:color="auto"/>
            </w:tcBorders>
          </w:tcPr>
          <w:p>
            <w:pPr>
              <w:spacing w:after="0"/>
              <w:rPr>
                <w:sz w:val="21"/>
                <w:szCs w:val="21"/>
                <w:color w:val="auto"/>
              </w:rPr>
            </w:pPr>
          </w:p>
        </w:tc>
        <w:tc>
          <w:tcPr>
            <w:tcW w:w="97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90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7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94"/>
              </w:rPr>
              <w:t>Beneficially</w:t>
            </w:r>
          </w:p>
        </w:tc>
        <w:tc>
          <w:tcPr>
            <w:tcW w:w="360" w:type="dxa"/>
            <w:vAlign w:val="bottom"/>
          </w:tcPr>
          <w:p>
            <w:pPr>
              <w:spacing w:after="0"/>
              <w:rPr>
                <w:sz w:val="18"/>
                <w:szCs w:val="18"/>
                <w:color w:val="auto"/>
              </w:rPr>
            </w:pPr>
          </w:p>
        </w:tc>
        <w:tc>
          <w:tcPr>
            <w:tcW w:w="9780" w:type="dxa"/>
            <w:vAlign w:val="bottom"/>
            <w:vMerge w:val="restart"/>
          </w:tcPr>
          <w:p>
            <w:pPr>
              <w:ind w:left="160"/>
              <w:spacing w:after="0"/>
              <w:rPr>
                <w:sz w:val="20"/>
                <w:szCs w:val="20"/>
                <w:color w:val="auto"/>
              </w:rPr>
            </w:pPr>
            <w:r>
              <w:rPr>
                <w:rFonts w:ascii="Arial" w:cs="Arial" w:eastAsia="Arial" w:hAnsi="Arial"/>
                <w:sz w:val="18"/>
                <w:szCs w:val="18"/>
                <w:color w:val="auto"/>
              </w:rPr>
              <w:t>73,620,282</w:t>
            </w:r>
          </w:p>
        </w:tc>
        <w:tc>
          <w:tcPr>
            <w:tcW w:w="0" w:type="dxa"/>
            <w:vAlign w:val="bottom"/>
          </w:tcPr>
          <w:p>
            <w:pPr>
              <w:spacing w:after="0"/>
              <w:rPr>
                <w:sz w:val="1"/>
                <w:szCs w:val="1"/>
                <w:color w:val="auto"/>
              </w:rPr>
            </w:pPr>
          </w:p>
        </w:tc>
      </w:tr>
      <w:tr>
        <w:trPr>
          <w:trHeight w:val="230"/>
        </w:trPr>
        <w:tc>
          <w:tcPr>
            <w:tcW w:w="90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60" w:type="dxa"/>
            <w:vAlign w:val="bottom"/>
            <w:tcBorders>
              <w:bottom w:val="single" w:sz="8" w:color="auto"/>
            </w:tcBorders>
          </w:tcPr>
          <w:p>
            <w:pPr>
              <w:spacing w:after="0"/>
              <w:rPr>
                <w:sz w:val="20"/>
                <w:szCs w:val="20"/>
                <w:color w:val="auto"/>
              </w:rPr>
            </w:pPr>
          </w:p>
        </w:tc>
        <w:tc>
          <w:tcPr>
            <w:tcW w:w="97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0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7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6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00" w:type="dxa"/>
            <w:vAlign w:val="bottom"/>
          </w:tcPr>
          <w:p>
            <w:pPr>
              <w:jc w:val="center"/>
              <w:spacing w:after="0"/>
              <w:rPr>
                <w:sz w:val="20"/>
                <w:szCs w:val="20"/>
                <w:color w:val="auto"/>
              </w:rPr>
            </w:pPr>
            <w:r>
              <w:rPr>
                <w:rFonts w:ascii="Arial" w:cs="Arial" w:eastAsia="Arial" w:hAnsi="Arial"/>
                <w:sz w:val="18"/>
                <w:szCs w:val="18"/>
                <w:color w:val="auto"/>
                <w:w w:val="87"/>
              </w:rPr>
              <w:t>Person</w:t>
            </w:r>
          </w:p>
        </w:tc>
        <w:tc>
          <w:tcPr>
            <w:tcW w:w="360" w:type="dxa"/>
            <w:vAlign w:val="bottom"/>
          </w:tcPr>
          <w:p>
            <w:pPr>
              <w:spacing w:after="0"/>
              <w:rPr>
                <w:sz w:val="18"/>
                <w:szCs w:val="18"/>
                <w:color w:val="auto"/>
              </w:rPr>
            </w:pPr>
          </w:p>
        </w:tc>
        <w:tc>
          <w:tcPr>
            <w:tcW w:w="978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4"/>
              </w:rPr>
              <w:t>With</w:t>
            </w:r>
          </w:p>
        </w:tc>
        <w:tc>
          <w:tcPr>
            <w:tcW w:w="360" w:type="dxa"/>
            <w:vAlign w:val="bottom"/>
            <w:tcBorders>
              <w:bottom w:val="single" w:sz="8" w:color="auto"/>
            </w:tcBorders>
          </w:tcPr>
          <w:p>
            <w:pPr>
              <w:spacing w:after="0"/>
              <w:rPr>
                <w:sz w:val="5"/>
                <w:szCs w:val="5"/>
                <w:color w:val="auto"/>
              </w:rPr>
            </w:pPr>
          </w:p>
        </w:tc>
        <w:tc>
          <w:tcPr>
            <w:tcW w:w="9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7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73,620,282</w:t>
      </w:r>
    </w:p>
    <w:p>
      <w:pPr>
        <w:spacing w:after="0" w:line="36" w:lineRule="exact"/>
        <w:rPr>
          <w:sz w:val="20"/>
          <w:szCs w:val="20"/>
          <w:color w:val="auto"/>
        </w:rPr>
      </w:pPr>
    </w:p>
    <w:p>
      <w:pPr>
        <w:ind w:left="620" w:hanging="365"/>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73,620,282</w:t>
      </w:r>
    </w:p>
    <w:p>
      <w:pPr>
        <w:spacing w:after="0" w:line="36" w:lineRule="exact"/>
        <w:rPr>
          <w:sz w:val="20"/>
          <w:szCs w:val="20"/>
          <w:color w:val="auto"/>
        </w:rPr>
      </w:pPr>
    </w:p>
    <w:p>
      <w:pPr>
        <w:ind w:left="620" w:right="5700" w:hanging="455"/>
        <w:spacing w:after="0" w:line="406" w:lineRule="auto"/>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Not Applicable</w:t>
      </w:r>
    </w:p>
    <w:p>
      <w:pPr>
        <w:spacing w:after="0" w:line="1" w:lineRule="exact"/>
        <w:rPr>
          <w:rFonts w:ascii="Arial" w:cs="Arial" w:eastAsia="Arial" w:hAnsi="Arial"/>
          <w:sz w:val="18"/>
          <w:szCs w:val="18"/>
          <w:color w:val="auto"/>
        </w:rPr>
      </w:pPr>
    </w:p>
    <w:p>
      <w:pPr>
        <w:ind w:left="620" w:right="6960" w:hanging="455"/>
        <w:spacing w:after="0" w:line="406" w:lineRule="auto"/>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Percent of Class Represented by Amount in Row 9 13.5%</w:t>
      </w:r>
    </w:p>
    <w:p>
      <w:pPr>
        <w:spacing w:after="0" w:line="1" w:lineRule="exact"/>
        <w:rPr>
          <w:rFonts w:ascii="Arial" w:cs="Arial" w:eastAsia="Arial" w:hAnsi="Arial"/>
          <w:sz w:val="18"/>
          <w:szCs w:val="18"/>
          <w:color w:val="auto"/>
        </w:rPr>
      </w:pPr>
    </w:p>
    <w:p>
      <w:pPr>
        <w:ind w:left="620" w:hanging="455"/>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FI</w:t>
      </w:r>
    </w:p>
    <w:p>
      <w:pPr>
        <w:sectPr>
          <w:pgSz w:w="11900" w:h="16838" w:orient="portrait"/>
          <w:cols w:equalWidth="0" w:num="1">
            <w:col w:w="11260"/>
          </w:cols>
          <w:pgMar w:left="320" w:top="274" w:right="319" w:bottom="1440" w:gutter="0" w:footer="0" w:header="0"/>
        </w:sectPr>
      </w:pPr>
    </w:p>
    <w:bookmarkStart w:id="5" w:name="page6"/>
    <w:bookmarkEnd w:id="5"/>
    <w:p>
      <w:pPr>
        <w:spacing w:after="0"/>
        <w:tabs>
          <w:tab w:leader="none" w:pos="5340" w:val="left"/>
          <w:tab w:leader="none" w:pos="10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81578P106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5 of 9</w:t>
      </w:r>
    </w:p>
    <w:p>
      <w:pPr>
        <w:spacing w:after="0" w:line="15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 (a)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Opendoor Technologies Inc. (the “Issuer”)</w:t>
      </w:r>
    </w:p>
    <w:p>
      <w:pPr>
        <w:spacing w:after="0" w:line="127" w:lineRule="exact"/>
        <w:rPr>
          <w:sz w:val="20"/>
          <w:szCs w:val="20"/>
          <w:color w:val="auto"/>
        </w:rPr>
      </w:pPr>
    </w:p>
    <w:p>
      <w:pPr>
        <w:ind w:left="1000" w:hanging="547"/>
        <w:spacing w:after="0"/>
        <w:tabs>
          <w:tab w:leader="none" w:pos="10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12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1 Post Street, Floor 11</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San Francisco, California 94104</w:t>
      </w:r>
    </w:p>
    <w:p>
      <w:pPr>
        <w:spacing w:after="0" w:line="35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 (a)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1020" w:right="180" w:firstLine="409"/>
        <w:spacing w:after="0" w:line="277" w:lineRule="auto"/>
        <w:rPr>
          <w:sz w:val="20"/>
          <w:szCs w:val="20"/>
          <w:color w:val="auto"/>
        </w:rPr>
      </w:pPr>
      <w:r>
        <w:rPr>
          <w:rFonts w:ascii="Arial" w:cs="Arial" w:eastAsia="Arial" w:hAnsi="Arial"/>
          <w:sz w:val="18"/>
          <w:szCs w:val="18"/>
          <w:color w:val="auto"/>
        </w:rPr>
        <w:t>Each of the following is hereinafter individually referred to as a “Reporting Person” and collectively as the “Reporting Persons.” This statement is filed on behalf of:</w:t>
      </w:r>
    </w:p>
    <w:p>
      <w:pPr>
        <w:spacing w:after="0" w:line="6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SVF Excalibur (Cayman) Limited (“SVF Excalibur”)</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SVF Endurance (Cayman) Limited (“SVF Endurance”)</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SoftBank Vision Fund (AIV M1) L.P. (“AIV M1”)</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SB Investment Advisers (UK) Limited (“SBIA UK”)</w:t>
      </w:r>
    </w:p>
    <w:p>
      <w:pPr>
        <w:spacing w:after="0" w:line="112" w:lineRule="exact"/>
        <w:rPr>
          <w:sz w:val="20"/>
          <w:szCs w:val="20"/>
          <w:color w:val="auto"/>
        </w:rPr>
      </w:pPr>
    </w:p>
    <w:p>
      <w:pPr>
        <w:ind w:left="1000" w:hanging="547"/>
        <w:spacing w:after="0"/>
        <w:tabs>
          <w:tab w:leader="none" w:pos="10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Address or Principal Business Office:</w:t>
      </w:r>
    </w:p>
    <w:p>
      <w:pPr>
        <w:spacing w:after="0" w:line="121" w:lineRule="exact"/>
        <w:rPr>
          <w:sz w:val="20"/>
          <w:szCs w:val="20"/>
          <w:color w:val="auto"/>
        </w:rPr>
      </w:pPr>
    </w:p>
    <w:p>
      <w:pPr>
        <w:ind w:left="1020" w:right="140" w:firstLine="409"/>
        <w:spacing w:after="0" w:line="263" w:lineRule="auto"/>
        <w:rPr>
          <w:sz w:val="20"/>
          <w:szCs w:val="20"/>
          <w:color w:val="auto"/>
        </w:rPr>
      </w:pPr>
      <w:r>
        <w:rPr>
          <w:rFonts w:ascii="Arial" w:cs="Arial" w:eastAsia="Arial" w:hAnsi="Arial"/>
          <w:sz w:val="18"/>
          <w:szCs w:val="18"/>
          <w:color w:val="auto"/>
        </w:rPr>
        <w:t>The address for each of SVF Excalibur is c/o Walkers Corp Ltd., Cayman Corporate Centre, 27 Hospital Road George Town, Grand Cayman, KY1-9008, Cayman Islands. The address for AIV M1 is 251 Little Falls Drive, Wilmington, DE 19808. The address for SBIA UK is 69 Grosvenor Street, London W1K 3JP, United Kingdom.</w:t>
      </w:r>
    </w:p>
    <w:p>
      <w:pPr>
        <w:spacing w:after="0" w:line="85" w:lineRule="exact"/>
        <w:rPr>
          <w:sz w:val="20"/>
          <w:szCs w:val="20"/>
          <w:color w:val="auto"/>
        </w:rPr>
      </w:pPr>
    </w:p>
    <w:p>
      <w:pPr>
        <w:ind w:left="1000" w:hanging="547"/>
        <w:spacing w:after="0"/>
        <w:tabs>
          <w:tab w:leader="none" w:pos="10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of each Reporting Person is:</w:t>
      </w:r>
    </w:p>
    <w:p>
      <w:pPr>
        <w:spacing w:after="0" w:line="121" w:lineRule="exact"/>
        <w:rPr>
          <w:sz w:val="20"/>
          <w:szCs w:val="20"/>
          <w:color w:val="auto"/>
        </w:rPr>
      </w:pPr>
    </w:p>
    <w:p>
      <w:pPr>
        <w:ind w:left="1020" w:right="60" w:firstLine="409"/>
        <w:spacing w:after="0" w:line="277" w:lineRule="auto"/>
        <w:rPr>
          <w:sz w:val="20"/>
          <w:szCs w:val="20"/>
          <w:color w:val="auto"/>
        </w:rPr>
      </w:pPr>
      <w:r>
        <w:rPr>
          <w:rFonts w:ascii="Arial" w:cs="Arial" w:eastAsia="Arial" w:hAnsi="Arial"/>
          <w:sz w:val="18"/>
          <w:szCs w:val="18"/>
          <w:color w:val="auto"/>
        </w:rPr>
        <w:t>Each of SVF Excalibur and SVF Endurance is organized under the laws of the Cayman Islands. AIV M1 is organized under the laws of Delaware. SBIA UK is organized under the laws of England and Wales.</w:t>
      </w:r>
    </w:p>
    <w:p>
      <w:pPr>
        <w:spacing w:after="0" w:line="72" w:lineRule="exact"/>
        <w:rPr>
          <w:sz w:val="20"/>
          <w:szCs w:val="20"/>
          <w:color w:val="auto"/>
        </w:rPr>
      </w:pPr>
    </w:p>
    <w:p>
      <w:pPr>
        <w:ind w:left="1000" w:hanging="547"/>
        <w:spacing w:after="0"/>
        <w:tabs>
          <w:tab w:leader="none" w:pos="10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Common stock, par value $0.0001 per share (“Common Stock”).</w:t>
      </w:r>
    </w:p>
    <w:p>
      <w:pPr>
        <w:spacing w:after="0" w:line="127" w:lineRule="exact"/>
        <w:rPr>
          <w:sz w:val="20"/>
          <w:szCs w:val="20"/>
          <w:color w:val="auto"/>
        </w:rPr>
      </w:pPr>
    </w:p>
    <w:p>
      <w:pPr>
        <w:jc w:val="right"/>
        <w:ind w:left="1420" w:right="8940" w:hanging="967"/>
        <w:spacing w:after="0" w:line="445" w:lineRule="auto"/>
        <w:tabs>
          <w:tab w:leader="none" w:pos="999"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683712103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12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274"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CUSIP No. 81578P106</w:t>
      </w:r>
    </w:p>
    <w:p>
      <w:pPr>
        <w:spacing w:after="0" w:line="20" w:lineRule="exact"/>
        <w:rPr>
          <w:sz w:val="20"/>
          <w:szCs w:val="20"/>
          <w:color w:val="auto"/>
        </w:rPr>
      </w:pPr>
      <w:r>
        <w:rPr>
          <w:sz w:val="20"/>
          <w:szCs w:val="20"/>
          <w:color w:val="auto"/>
        </w:rPr>
        <w:br w:type="column"/>
      </w:r>
    </w:p>
    <w:p>
      <w:pPr>
        <w:jc w:val="center"/>
        <w:ind w:right="3320"/>
        <w:spacing w:after="0"/>
        <w:rPr>
          <w:sz w:val="20"/>
          <w:szCs w:val="20"/>
          <w:color w:val="auto"/>
        </w:rPr>
      </w:pPr>
      <w:r>
        <w:rPr>
          <w:rFonts w:ascii="Arial" w:cs="Arial" w:eastAsia="Arial" w:hAnsi="Arial"/>
          <w:sz w:val="16"/>
          <w:szCs w:val="16"/>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-201295</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6 of 9</w:t>
      </w:r>
    </w:p>
    <w:p>
      <w:pPr>
        <w:spacing w:after="0" w:line="177" w:lineRule="exact"/>
        <w:rPr>
          <w:sz w:val="20"/>
          <w:szCs w:val="20"/>
          <w:color w:val="auto"/>
        </w:rPr>
      </w:pPr>
    </w:p>
    <w:p>
      <w:pPr>
        <w:sectPr>
          <w:pgSz w:w="11900" w:h="16838" w:orient="portrait"/>
          <w:cols w:equalWidth="0" w:num="3">
            <w:col w:w="4640" w:space="720"/>
            <w:col w:w="4340" w:space="720"/>
            <w:col w:w="820"/>
          </w:cols>
          <w:pgMar w:left="320" w:top="274" w:right="339" w:bottom="1440" w:gutter="0" w:footer="0" w:header="0"/>
        </w:sectPr>
      </w:pPr>
    </w:p>
    <w:p>
      <w:pPr>
        <w:spacing w:after="0"/>
        <w:rPr>
          <w:sz w:val="20"/>
          <w:szCs w:val="20"/>
          <w:color w:val="auto"/>
        </w:rPr>
      </w:pPr>
      <w:r>
        <w:rPr>
          <w:rFonts w:ascii="Arial" w:cs="Arial" w:eastAsia="Arial" w:hAnsi="Arial"/>
          <w:sz w:val="18"/>
          <w:szCs w:val="18"/>
          <w:b w:val="1"/>
          <w:bCs w:val="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Ownership.</w:t>
      </w:r>
    </w:p>
    <w:p>
      <w:pPr>
        <w:spacing w:after="0" w:line="139" w:lineRule="exact"/>
        <w:rPr>
          <w:sz w:val="20"/>
          <w:szCs w:val="20"/>
          <w:color w:val="auto"/>
        </w:rPr>
      </w:pPr>
    </w:p>
    <w:p>
      <w:pPr>
        <w:sectPr>
          <w:pgSz w:w="11900" w:h="16838" w:orient="portrait"/>
          <w:cols w:equalWidth="0" w:num="2">
            <w:col w:w="660" w:space="460"/>
            <w:col w:w="10120"/>
          </w:cols>
          <w:pgMar w:left="320" w:top="274" w:right="339"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(a-c)</w:t>
      </w:r>
    </w:p>
    <w:p>
      <w:pPr>
        <w:sectPr>
          <w:pgSz w:w="11900" w:h="16838" w:orient="portrait"/>
          <w:cols w:equalWidth="0" w:num="1">
            <w:col w:w="11240"/>
          </w:cols>
          <w:pgMar w:left="320" w:top="274" w:right="339" w:bottom="1440" w:gutter="0" w:footer="0" w:header="0"/>
          <w:type w:val="continuous"/>
        </w:sectPr>
      </w:pPr>
    </w:p>
    <w:p>
      <w:pPr>
        <w:spacing w:after="0" w:line="144" w:lineRule="exact"/>
        <w:rPr>
          <w:sz w:val="20"/>
          <w:szCs w:val="20"/>
          <w:color w:val="auto"/>
        </w:rPr>
      </w:pPr>
    </w:p>
    <w:p>
      <w:pPr>
        <w:ind w:left="460" w:right="200" w:firstLine="431"/>
        <w:spacing w:after="0" w:line="277" w:lineRule="auto"/>
        <w:rPr>
          <w:sz w:val="20"/>
          <w:szCs w:val="20"/>
          <w:color w:val="auto"/>
        </w:rPr>
      </w:pPr>
      <w:r>
        <w:rPr>
          <w:rFonts w:ascii="Arial" w:cs="Arial" w:eastAsia="Arial" w:hAnsi="Arial"/>
          <w:sz w:val="18"/>
          <w:szCs w:val="18"/>
          <w:color w:val="auto"/>
        </w:rPr>
        <w:t>The ownership information presented below represents beneficial ownership of Common Stock of the Issuer as of December 18, 2020, based upon 544,422,565 shares of Common Stock outstanding.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7"/>
              </w:rPr>
              <w:t>Sole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Shared</w:t>
            </w:r>
          </w:p>
        </w:tc>
        <w:tc>
          <w:tcPr>
            <w:tcW w:w="0" w:type="dxa"/>
            <w:vAlign w:val="bottom"/>
          </w:tcPr>
          <w:p>
            <w:pPr>
              <w:spacing w:after="0"/>
              <w:rPr>
                <w:sz w:val="1"/>
                <w:szCs w:val="1"/>
                <w:color w:val="auto"/>
              </w:rPr>
            </w:pPr>
          </w:p>
        </w:tc>
      </w:tr>
      <w:tr>
        <w:trPr>
          <w:trHeight w:val="158"/>
        </w:trPr>
        <w:tc>
          <w:tcPr>
            <w:tcW w:w="41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7"/>
              </w:rPr>
              <w:t>Sole</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Shared</w:t>
            </w: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power to</w:t>
            </w: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power to</w:t>
            </w: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power</w:t>
            </w:r>
          </w:p>
        </w:tc>
        <w:tc>
          <w:tcPr>
            <w:tcW w:w="1100" w:type="dxa"/>
            <w:vAlign w:val="bottom"/>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dispose or</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dispose or</w:t>
            </w: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2300" w:type="dxa"/>
            <w:vAlign w:val="bottom"/>
            <w:vMerge w:val="restart"/>
          </w:tcPr>
          <w:p>
            <w:pPr>
              <w:jc w:val="center"/>
              <w:ind w:left="1098"/>
              <w:spacing w:after="0"/>
              <w:rPr>
                <w:sz w:val="20"/>
                <w:szCs w:val="20"/>
                <w:color w:val="auto"/>
              </w:rPr>
            </w:pPr>
            <w:r>
              <w:rPr>
                <w:rFonts w:ascii="Arial" w:cs="Arial" w:eastAsia="Arial" w:hAnsi="Arial"/>
                <w:sz w:val="14"/>
                <w:szCs w:val="14"/>
                <w:b w:val="1"/>
                <w:bCs w:val="1"/>
                <w:color w:val="auto"/>
                <w:w w:val="98"/>
              </w:rPr>
              <w:t>Amount</w:t>
            </w:r>
          </w:p>
        </w:tc>
        <w:tc>
          <w:tcPr>
            <w:tcW w:w="9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 vote</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power to</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 direct</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 direct</w:t>
            </w: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2300" w:type="dxa"/>
            <w:vAlign w:val="bottom"/>
            <w:vMerge w:val="continue"/>
          </w:tcPr>
          <w:p>
            <w:pPr>
              <w:spacing w:after="0"/>
              <w:rPr>
                <w:sz w:val="12"/>
                <w:szCs w:val="12"/>
                <w:color w:val="auto"/>
              </w:rPr>
            </w:pPr>
          </w:p>
        </w:tc>
        <w:tc>
          <w:tcPr>
            <w:tcW w:w="90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Percent</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or to</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vote or to</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the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the</w:t>
            </w:r>
          </w:p>
        </w:tc>
        <w:tc>
          <w:tcPr>
            <w:tcW w:w="0" w:type="dxa"/>
            <w:vAlign w:val="bottom"/>
          </w:tcPr>
          <w:p>
            <w:pPr>
              <w:spacing w:after="0"/>
              <w:rPr>
                <w:sz w:val="1"/>
                <w:szCs w:val="1"/>
                <w:color w:val="auto"/>
              </w:rPr>
            </w:pPr>
          </w:p>
        </w:tc>
      </w:tr>
      <w:tr>
        <w:trPr>
          <w:trHeight w:val="148"/>
        </w:trPr>
        <w:tc>
          <w:tcPr>
            <w:tcW w:w="4140" w:type="dxa"/>
            <w:vAlign w:val="bottom"/>
            <w:vMerge w:val="restart"/>
          </w:tcPr>
          <w:p>
            <w:pPr>
              <w:spacing w:after="0"/>
              <w:rPr>
                <w:sz w:val="20"/>
                <w:szCs w:val="20"/>
                <w:color w:val="auto"/>
              </w:rPr>
            </w:pPr>
            <w:r>
              <w:rPr>
                <w:rFonts w:ascii="Arial" w:cs="Arial" w:eastAsia="Arial" w:hAnsi="Arial"/>
                <w:sz w:val="14"/>
                <w:szCs w:val="14"/>
                <w:b w:val="1"/>
                <w:bCs w:val="1"/>
                <w:color w:val="auto"/>
              </w:rPr>
              <w:t>Reporting Person</w:t>
            </w:r>
          </w:p>
        </w:tc>
        <w:tc>
          <w:tcPr>
            <w:tcW w:w="2300" w:type="dxa"/>
            <w:vAlign w:val="bottom"/>
          </w:tcPr>
          <w:p>
            <w:pPr>
              <w:jc w:val="center"/>
              <w:ind w:left="1098"/>
              <w:spacing w:after="0" w:line="149" w:lineRule="exact"/>
              <w:rPr>
                <w:sz w:val="20"/>
                <w:szCs w:val="20"/>
                <w:color w:val="auto"/>
              </w:rPr>
            </w:pPr>
            <w:r>
              <w:rPr>
                <w:rFonts w:ascii="Arial" w:cs="Arial" w:eastAsia="Arial" w:hAnsi="Arial"/>
                <w:sz w:val="14"/>
                <w:szCs w:val="14"/>
                <w:b w:val="1"/>
                <w:bCs w:val="1"/>
                <w:color w:val="auto"/>
                <w:w w:val="94"/>
              </w:rPr>
              <w:t>beneficially</w:t>
            </w:r>
          </w:p>
        </w:tc>
        <w:tc>
          <w:tcPr>
            <w:tcW w:w="900" w:type="dxa"/>
            <w:vAlign w:val="bottom"/>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direct</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direct the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disposition</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disposition</w:t>
            </w:r>
          </w:p>
        </w:tc>
        <w:tc>
          <w:tcPr>
            <w:tcW w:w="0" w:type="dxa"/>
            <w:vAlign w:val="bottom"/>
          </w:tcPr>
          <w:p>
            <w:pPr>
              <w:spacing w:after="0"/>
              <w:rPr>
                <w:sz w:val="1"/>
                <w:szCs w:val="1"/>
                <w:color w:val="auto"/>
              </w:rPr>
            </w:pPr>
          </w:p>
        </w:tc>
      </w:tr>
      <w:tr>
        <w:trPr>
          <w:trHeight w:val="176"/>
        </w:trPr>
        <w:tc>
          <w:tcPr>
            <w:tcW w:w="4140" w:type="dxa"/>
            <w:vAlign w:val="bottom"/>
            <w:vMerge w:val="continue"/>
          </w:tcPr>
          <w:p>
            <w:pPr>
              <w:spacing w:after="0"/>
              <w:rPr>
                <w:sz w:val="15"/>
                <w:szCs w:val="15"/>
                <w:color w:val="auto"/>
              </w:rPr>
            </w:pPr>
          </w:p>
        </w:tc>
        <w:tc>
          <w:tcPr>
            <w:tcW w:w="2300" w:type="dxa"/>
            <w:vAlign w:val="bottom"/>
          </w:tcPr>
          <w:p>
            <w:pPr>
              <w:jc w:val="center"/>
              <w:ind w:left="1098"/>
              <w:spacing w:after="0"/>
              <w:rPr>
                <w:sz w:val="20"/>
                <w:szCs w:val="20"/>
                <w:color w:val="auto"/>
              </w:rPr>
            </w:pPr>
            <w:r>
              <w:rPr>
                <w:rFonts w:ascii="Arial" w:cs="Arial" w:eastAsia="Arial" w:hAnsi="Arial"/>
                <w:sz w:val="14"/>
                <w:szCs w:val="14"/>
                <w:b w:val="1"/>
                <w:bCs w:val="1"/>
                <w:color w:val="auto"/>
                <w:w w:val="90"/>
              </w:rPr>
              <w:t>owned</w:t>
            </w:r>
          </w:p>
        </w:tc>
        <w:tc>
          <w:tcPr>
            <w:tcW w:w="900" w:type="dxa"/>
            <w:vAlign w:val="bottom"/>
          </w:tcPr>
          <w:p>
            <w:pPr>
              <w:jc w:val="right"/>
              <w:ind w:right="196"/>
              <w:spacing w:after="0"/>
              <w:rPr>
                <w:sz w:val="20"/>
                <w:szCs w:val="20"/>
                <w:color w:val="auto"/>
              </w:rPr>
            </w:pPr>
            <w:r>
              <w:rPr>
                <w:rFonts w:ascii="Arial" w:cs="Arial" w:eastAsia="Arial" w:hAnsi="Arial"/>
                <w:sz w:val="14"/>
                <w:szCs w:val="14"/>
                <w:b w:val="1"/>
                <w:bCs w:val="1"/>
                <w:color w:val="auto"/>
              </w:rPr>
              <w:t>of class: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the vote: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vote: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of:</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of:</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SVF Excalibur (Cayman) Limited</w:t>
            </w:r>
          </w:p>
        </w:tc>
        <w:tc>
          <w:tcPr>
            <w:tcW w:w="23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73,620,282</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13.5%</w:t>
            </w: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73,620,282</w:t>
            </w:r>
          </w:p>
        </w:tc>
        <w:tc>
          <w:tcPr>
            <w:tcW w:w="96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73,620,282</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SVF Endurance (Cayman) Limited</w:t>
            </w:r>
          </w:p>
        </w:tc>
        <w:tc>
          <w:tcPr>
            <w:tcW w:w="2300" w:type="dxa"/>
            <w:vAlign w:val="bottom"/>
          </w:tcPr>
          <w:p>
            <w:pPr>
              <w:jc w:val="right"/>
              <w:ind w:right="38"/>
              <w:spacing w:after="0"/>
              <w:rPr>
                <w:sz w:val="20"/>
                <w:szCs w:val="20"/>
                <w:color w:val="auto"/>
              </w:rPr>
            </w:pPr>
            <w:r>
              <w:rPr>
                <w:rFonts w:ascii="Arial" w:cs="Arial" w:eastAsia="Arial" w:hAnsi="Arial"/>
                <w:sz w:val="18"/>
                <w:szCs w:val="18"/>
                <w:color w:val="auto"/>
              </w:rPr>
              <w:t>73,620,282</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13.5%</w:t>
            </w:r>
          </w:p>
        </w:tc>
        <w:tc>
          <w:tcPr>
            <w:tcW w:w="820" w:type="dxa"/>
            <w:vAlign w:val="bottom"/>
          </w:tcPr>
          <w:p>
            <w:pPr>
              <w:jc w:val="right"/>
              <w:ind w:right="61"/>
              <w:spacing w:after="0"/>
              <w:rPr>
                <w:sz w:val="20"/>
                <w:szCs w:val="20"/>
                <w:color w:val="auto"/>
              </w:rPr>
            </w:pPr>
            <w:r>
              <w:rPr>
                <w:rFonts w:ascii="Arial" w:cs="Arial" w:eastAsia="Arial" w:hAnsi="Arial"/>
                <w:sz w:val="18"/>
                <w:szCs w:val="18"/>
                <w:color w:val="auto"/>
              </w:rPr>
              <w:t>0</w:t>
            </w:r>
          </w:p>
        </w:tc>
        <w:tc>
          <w:tcPr>
            <w:tcW w:w="1100" w:type="dxa"/>
            <w:vAlign w:val="bottom"/>
          </w:tcPr>
          <w:p>
            <w:pPr>
              <w:jc w:val="right"/>
              <w:ind w:right="40"/>
              <w:spacing w:after="0"/>
              <w:rPr>
                <w:sz w:val="20"/>
                <w:szCs w:val="20"/>
                <w:color w:val="auto"/>
              </w:rPr>
            </w:pPr>
            <w:r>
              <w:rPr>
                <w:rFonts w:ascii="Arial" w:cs="Arial" w:eastAsia="Arial" w:hAnsi="Arial"/>
                <w:sz w:val="18"/>
                <w:szCs w:val="18"/>
                <w:color w:val="auto"/>
              </w:rPr>
              <w:t>73,620,282</w:t>
            </w:r>
          </w:p>
        </w:tc>
        <w:tc>
          <w:tcPr>
            <w:tcW w:w="960" w:type="dxa"/>
            <w:vAlign w:val="bottom"/>
          </w:tcPr>
          <w:p>
            <w:pPr>
              <w:jc w:val="right"/>
              <w:ind w:right="81"/>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73,620,282</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SoftBank Vision Fund (AIV M1) L.P.</w:t>
            </w:r>
          </w:p>
        </w:tc>
        <w:tc>
          <w:tcPr>
            <w:tcW w:w="23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73,620,282</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13.5%</w:t>
            </w: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73,620,282</w:t>
            </w:r>
          </w:p>
        </w:tc>
        <w:tc>
          <w:tcPr>
            <w:tcW w:w="96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73,620,282</w:t>
            </w: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SB Investment Advisers (UK) Limited</w:t>
            </w:r>
          </w:p>
        </w:tc>
        <w:tc>
          <w:tcPr>
            <w:tcW w:w="2300" w:type="dxa"/>
            <w:vAlign w:val="bottom"/>
          </w:tcPr>
          <w:p>
            <w:pPr>
              <w:jc w:val="right"/>
              <w:ind w:right="38"/>
              <w:spacing w:after="0"/>
              <w:rPr>
                <w:sz w:val="20"/>
                <w:szCs w:val="20"/>
                <w:color w:val="auto"/>
              </w:rPr>
            </w:pPr>
            <w:r>
              <w:rPr>
                <w:rFonts w:ascii="Arial" w:cs="Arial" w:eastAsia="Arial" w:hAnsi="Arial"/>
                <w:sz w:val="18"/>
                <w:szCs w:val="18"/>
                <w:color w:val="auto"/>
              </w:rPr>
              <w:t>73,620,282</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13.5%</w:t>
            </w:r>
          </w:p>
        </w:tc>
        <w:tc>
          <w:tcPr>
            <w:tcW w:w="820" w:type="dxa"/>
            <w:vAlign w:val="bottom"/>
          </w:tcPr>
          <w:p>
            <w:pPr>
              <w:jc w:val="right"/>
              <w:ind w:right="61"/>
              <w:spacing w:after="0"/>
              <w:rPr>
                <w:sz w:val="20"/>
                <w:szCs w:val="20"/>
                <w:color w:val="auto"/>
              </w:rPr>
            </w:pPr>
            <w:r>
              <w:rPr>
                <w:rFonts w:ascii="Arial" w:cs="Arial" w:eastAsia="Arial" w:hAnsi="Arial"/>
                <w:sz w:val="18"/>
                <w:szCs w:val="18"/>
                <w:color w:val="auto"/>
              </w:rPr>
              <w:t>0</w:t>
            </w:r>
          </w:p>
        </w:tc>
        <w:tc>
          <w:tcPr>
            <w:tcW w:w="1100" w:type="dxa"/>
            <w:vAlign w:val="bottom"/>
          </w:tcPr>
          <w:p>
            <w:pPr>
              <w:jc w:val="right"/>
              <w:ind w:right="40"/>
              <w:spacing w:after="0"/>
              <w:rPr>
                <w:sz w:val="20"/>
                <w:szCs w:val="20"/>
                <w:color w:val="auto"/>
              </w:rPr>
            </w:pPr>
            <w:r>
              <w:rPr>
                <w:rFonts w:ascii="Arial" w:cs="Arial" w:eastAsia="Arial" w:hAnsi="Arial"/>
                <w:sz w:val="18"/>
                <w:szCs w:val="18"/>
                <w:color w:val="auto"/>
              </w:rPr>
              <w:t>73,620,282</w:t>
            </w:r>
          </w:p>
        </w:tc>
        <w:tc>
          <w:tcPr>
            <w:tcW w:w="960" w:type="dxa"/>
            <w:vAlign w:val="bottom"/>
          </w:tcPr>
          <w:p>
            <w:pPr>
              <w:jc w:val="right"/>
              <w:ind w:right="81"/>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73,620,282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SVF Excalibur is the record holder of the shares of Common Stock reported herein.</w:t>
      </w:r>
    </w:p>
    <w:p>
      <w:pPr>
        <w:spacing w:after="0" w:line="117" w:lineRule="exact"/>
        <w:rPr>
          <w:sz w:val="20"/>
          <w:szCs w:val="20"/>
          <w:color w:val="auto"/>
        </w:rPr>
      </w:pPr>
    </w:p>
    <w:p>
      <w:pPr>
        <w:ind w:left="460" w:right="40" w:firstLine="431"/>
        <w:spacing w:after="0" w:line="301" w:lineRule="auto"/>
        <w:rPr>
          <w:sz w:val="20"/>
          <w:szCs w:val="20"/>
          <w:color w:val="auto"/>
        </w:rPr>
      </w:pPr>
      <w:r>
        <w:rPr>
          <w:rFonts w:ascii="Arial" w:cs="Arial" w:eastAsia="Arial" w:hAnsi="Arial"/>
          <w:sz w:val="16"/>
          <w:szCs w:val="16"/>
          <w:color w:val="auto"/>
        </w:rPr>
        <w:t>SVF Excalibur is a wholly owned subsidiary of SVF Endurance, which is a wholly owned subsidiary of AIV M1. SBIA UK has been appointed as alternative investment fund manager (“AIFM”) and is exclusively responsible for managing AIV M1 in accordance with the Alternative Investment Fund Managers Directive and is authorized and regulated by the UK Financial Conduct Authority accordingly. As AIFM of AIV M1, SBIA UK is exclusively responsible for making all decisions related to the acquisition, structuring, financing and disposal of AIV M1’s investments.</w:t>
      </w:r>
    </w:p>
    <w:p>
      <w:pPr>
        <w:spacing w:after="0" w:line="30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274" w:right="339" w:bottom="1440" w:gutter="0" w:footer="0" w:header="0"/>
          <w:type w:val="continuous"/>
        </w:sectPr>
      </w:pPr>
    </w:p>
    <w:bookmarkStart w:id="7" w:name="page8"/>
    <w:bookmarkEnd w:id="7"/>
    <w:p>
      <w:pPr>
        <w:spacing w:after="0"/>
        <w:tabs>
          <w:tab w:leader="none" w:pos="5340" w:val="left"/>
          <w:tab w:leader="none" w:pos="10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81578P106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7 of 9</w:t>
      </w:r>
    </w:p>
    <w:p>
      <w:pPr>
        <w:spacing w:after="0" w:line="15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Certification.</w:t>
      </w:r>
    </w:p>
    <w:p>
      <w:pPr>
        <w:spacing w:after="0" w:line="121" w:lineRule="exact"/>
        <w:rPr>
          <w:sz w:val="20"/>
          <w:szCs w:val="20"/>
          <w:color w:val="auto"/>
        </w:rPr>
      </w:pPr>
    </w:p>
    <w:p>
      <w:pPr>
        <w:ind w:right="80" w:firstLine="449"/>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ectPr>
          <w:pgSz w:w="11900" w:h="16838" w:orient="portrait"/>
          <w:cols w:equalWidth="0" w:num="1">
            <w:col w:w="11240"/>
          </w:cols>
          <w:pgMar w:left="320" w:top="274" w:right="339" w:bottom="1440" w:gutter="0" w:footer="0" w:header="0"/>
        </w:sectPr>
      </w:pPr>
    </w:p>
    <w:bookmarkStart w:id="8" w:name="page9"/>
    <w:bookmarkEnd w:id="8"/>
    <w:p>
      <w:pPr>
        <w:spacing w:after="0"/>
        <w:tabs>
          <w:tab w:leader="none" w:pos="5340" w:val="left"/>
          <w:tab w:leader="none" w:pos="10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81578P106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8 of 9</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 December 23, 2020</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SVF Excalibur (Cayman) Limited</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Wheeler</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Brian Wheeler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SVF Endurance (Cayman) Limited</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Wheeler</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Brian Wheeler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Director</w:t>
            </w:r>
          </w:p>
        </w:tc>
      </w:tr>
      <w:tr>
        <w:trPr>
          <w:trHeight w:val="418"/>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SoftBank Vision Fund (AIV M1) L.P.</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Pr>
          <w:p>
            <w:pPr>
              <w:spacing w:after="0"/>
              <w:rPr>
                <w:sz w:val="20"/>
                <w:szCs w:val="20"/>
                <w:color w:val="auto"/>
              </w:rPr>
            </w:pPr>
            <w:r>
              <w:rPr>
                <w:rFonts w:ascii="Arial" w:cs="Arial" w:eastAsia="Arial" w:hAnsi="Arial"/>
                <w:sz w:val="18"/>
                <w:szCs w:val="18"/>
                <w:color w:val="auto"/>
                <w:w w:val="96"/>
              </w:rPr>
              <w:t>SB Investment Advisers (UK) Limited, its Manager</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Wheeler</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Brian Wheeler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General Counsel</w:t>
            </w:r>
          </w:p>
        </w:tc>
      </w:tr>
      <w:tr>
        <w:trPr>
          <w:trHeight w:val="432"/>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SB Investment Advisers (UK) Limited</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Wheeler</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Brian Wheeler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General Counsel</w:t>
            </w:r>
          </w:p>
        </w:tc>
      </w:tr>
    </w:tbl>
    <w:p>
      <w:pPr>
        <w:sectPr>
          <w:pgSz w:w="11900" w:h="16838" w:orient="portrait"/>
          <w:cols w:equalWidth="0" w:num="1">
            <w:col w:w="11240"/>
          </w:cols>
          <w:pgMar w:left="320" w:top="274" w:right="3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060" w:type="dxa"/>
            <w:vAlign w:val="bottom"/>
            <w:gridSpan w:val="4"/>
          </w:tcPr>
          <w:p>
            <w:pPr>
              <w:spacing w:after="0"/>
              <w:rPr>
                <w:sz w:val="20"/>
                <w:szCs w:val="20"/>
                <w:color w:val="auto"/>
              </w:rPr>
            </w:pPr>
            <w:r>
              <w:rPr>
                <w:rFonts w:ascii="Arial" w:cs="Arial" w:eastAsia="Arial" w:hAnsi="Arial"/>
                <w:sz w:val="18"/>
                <w:szCs w:val="18"/>
                <w:color w:val="auto"/>
              </w:rPr>
              <w:t>CUSIP No. 81578P106</w:t>
            </w:r>
          </w:p>
        </w:tc>
        <w:tc>
          <w:tcPr>
            <w:tcW w:w="4360" w:type="dxa"/>
            <w:vAlign w:val="bottom"/>
          </w:tcPr>
          <w:p>
            <w:pPr>
              <w:ind w:left="1300"/>
              <w:spacing w:after="0"/>
              <w:rPr>
                <w:sz w:val="20"/>
                <w:szCs w:val="20"/>
                <w:color w:val="auto"/>
              </w:rPr>
            </w:pPr>
            <w:r>
              <w:rPr>
                <w:rFonts w:ascii="Arial" w:cs="Arial" w:eastAsia="Arial" w:hAnsi="Arial"/>
                <w:sz w:val="18"/>
                <w:szCs w:val="18"/>
                <w:color w:val="auto"/>
              </w:rPr>
              <w:t>Schedule 13G</w:t>
            </w:r>
          </w:p>
        </w:tc>
        <w:tc>
          <w:tcPr>
            <w:tcW w:w="2820" w:type="dxa"/>
            <w:vAlign w:val="bottom"/>
          </w:tcPr>
          <w:p>
            <w:pPr>
              <w:ind w:left="2000"/>
              <w:spacing w:after="0"/>
              <w:rPr>
                <w:sz w:val="20"/>
                <w:szCs w:val="20"/>
                <w:color w:val="auto"/>
              </w:rPr>
            </w:pPr>
            <w:r>
              <w:rPr>
                <w:rFonts w:ascii="Arial" w:cs="Arial" w:eastAsia="Arial" w:hAnsi="Arial"/>
                <w:sz w:val="18"/>
                <w:szCs w:val="18"/>
                <w:color w:val="auto"/>
                <w:w w:val="86"/>
              </w:rPr>
              <w:t>Page 9 of 9</w:t>
            </w:r>
          </w:p>
        </w:tc>
      </w:tr>
      <w:tr>
        <w:trPr>
          <w:trHeight w:val="365"/>
        </w:trPr>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360" w:type="dxa"/>
            <w:vAlign w:val="bottom"/>
          </w:tcPr>
          <w:p>
            <w:pPr>
              <w:ind w:left="760"/>
              <w:spacing w:after="0"/>
              <w:rPr>
                <w:sz w:val="20"/>
                <w:szCs w:val="20"/>
                <w:color w:val="auto"/>
              </w:rPr>
            </w:pPr>
            <w:r>
              <w:rPr>
                <w:rFonts w:ascii="Arial" w:cs="Arial" w:eastAsia="Arial" w:hAnsi="Arial"/>
                <w:sz w:val="18"/>
                <w:szCs w:val="18"/>
                <w:b w:val="1"/>
                <w:bCs w:val="1"/>
                <w:color w:val="auto"/>
              </w:rPr>
              <w:t>LIST OF EXHIBITS</w:t>
            </w:r>
          </w:p>
        </w:tc>
        <w:tc>
          <w:tcPr>
            <w:tcW w:w="2820" w:type="dxa"/>
            <w:vAlign w:val="bottom"/>
          </w:tcPr>
          <w:p>
            <w:pPr>
              <w:spacing w:after="0"/>
              <w:rPr>
                <w:sz w:val="24"/>
                <w:szCs w:val="24"/>
                <w:color w:val="auto"/>
              </w:rPr>
            </w:pPr>
          </w:p>
        </w:tc>
      </w:tr>
      <w:tr>
        <w:trPr>
          <w:trHeight w:val="391"/>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860" w:type="dxa"/>
            <w:vAlign w:val="bottom"/>
          </w:tcPr>
          <w:p>
            <w:pPr>
              <w:spacing w:after="0"/>
              <w:rPr>
                <w:sz w:val="24"/>
                <w:szCs w:val="24"/>
                <w:color w:val="auto"/>
              </w:rPr>
            </w:pPr>
          </w:p>
        </w:tc>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436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99</w:t>
            </w:r>
          </w:p>
        </w:tc>
        <w:tc>
          <w:tcPr>
            <w:tcW w:w="860" w:type="dxa"/>
            <w:vAlign w:val="bottom"/>
          </w:tcPr>
          <w:p>
            <w:pPr>
              <w:spacing w:after="0"/>
              <w:rPr>
                <w:sz w:val="24"/>
                <w:szCs w:val="24"/>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Joint Filing Agreement.</w:t>
            </w:r>
          </w:p>
        </w:tc>
        <w:tc>
          <w:tcPr>
            <w:tcW w:w="4360" w:type="dxa"/>
            <w:vAlign w:val="bottom"/>
          </w:tcPr>
          <w:p>
            <w:pPr>
              <w:spacing w:after="0"/>
              <w:rPr>
                <w:sz w:val="24"/>
                <w:szCs w:val="24"/>
                <w:color w:val="auto"/>
              </w:rPr>
            </w:pPr>
          </w:p>
        </w:tc>
        <w:tc>
          <w:tcPr>
            <w:tcW w:w="2820" w:type="dxa"/>
            <w:vAlign w:val="bottom"/>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180" w:firstLine="449"/>
        <w:spacing w:after="0" w:line="257" w:lineRule="auto"/>
        <w:rPr>
          <w:sz w:val="20"/>
          <w:szCs w:val="20"/>
          <w:color w:val="auto"/>
        </w:rPr>
      </w:pPr>
      <w:r>
        <w:rPr>
          <w:rFonts w:ascii="Arial" w:cs="Arial" w:eastAsia="Arial" w:hAnsi="Arial"/>
          <w:sz w:val="18"/>
          <w:szCs w:val="18"/>
          <w:color w:val="auto"/>
        </w:rPr>
        <w:t>In accordance with Rule 13d-1(k)(1) promulgated under the Securities Exchange Act of 1934, as amended, the undersigned hereby agree that they are jointly filing this statement on Schedule 13G. Each of them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hereby execute this Joint Filing Agreement as of the 23</w:t>
      </w:r>
      <w:r>
        <w:rPr>
          <w:rFonts w:ascii="Arial" w:cs="Arial" w:eastAsia="Arial" w:hAnsi="Arial"/>
          <w:sz w:val="15"/>
          <w:szCs w:val="15"/>
          <w:color w:val="auto"/>
        </w:rPr>
        <w:t>rd</w:t>
      </w:r>
      <w:r>
        <w:rPr>
          <w:rFonts w:ascii="Arial" w:cs="Arial" w:eastAsia="Arial" w:hAnsi="Arial"/>
          <w:sz w:val="18"/>
          <w:szCs w:val="18"/>
          <w:color w:val="auto"/>
        </w:rPr>
        <w:t xml:space="preserve"> day of December, 2020.</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SVF Excalibur (Cayman) Limited</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Wheeler</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Brian Wheeler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SVF Endurance (Cayman) Limited</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Wheeler</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Brian Wheeler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Director</w:t>
            </w:r>
          </w:p>
        </w:tc>
      </w:tr>
      <w:tr>
        <w:trPr>
          <w:trHeight w:val="418"/>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SoftBank Vision Fund (AIV M1) L.P.</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Pr>
          <w:p>
            <w:pPr>
              <w:spacing w:after="0"/>
              <w:rPr>
                <w:sz w:val="20"/>
                <w:szCs w:val="20"/>
                <w:color w:val="auto"/>
              </w:rPr>
            </w:pPr>
            <w:r>
              <w:rPr>
                <w:rFonts w:ascii="Arial" w:cs="Arial" w:eastAsia="Arial" w:hAnsi="Arial"/>
                <w:sz w:val="18"/>
                <w:szCs w:val="18"/>
                <w:color w:val="auto"/>
                <w:w w:val="96"/>
              </w:rPr>
              <w:t>SB Investment Advisers (UK) Limited, its Manager</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Wheeler</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Brian Wheeler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General Counsel</w:t>
            </w:r>
          </w:p>
        </w:tc>
      </w:tr>
      <w:tr>
        <w:trPr>
          <w:trHeight w:val="432"/>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SB Investment Advisers (UK) Limited</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Wheeler</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Brian Wheeler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bullet"/>
      <w:start w:val="1"/>
    </w:lvl>
  </w:abstractNum>
  <w:abstractNum w:abstractNumId="5">
    <w:nsid w:val="6763845E"/>
    <w:multiLevelType w:val="hybridMultilevel"/>
    <w:lvl w:ilvl="0">
      <w:lvlJc w:val="left"/>
      <w:lvlText w:val="2"/>
      <w:numFmt w:val="bullet"/>
      <w:start w:val="1"/>
    </w:lvl>
  </w:abstractNum>
  <w:abstractNum w:abstractNumId="6">
    <w:nsid w:val="75A2A8D4"/>
    <w:multiLevelType w:val="hybridMultilevel"/>
    <w:lvl w:ilvl="0">
      <w:lvlJc w:val="left"/>
      <w:lvlText w:val="3"/>
      <w:numFmt w:val="bullet"/>
      <w:start w:val="1"/>
    </w:lvl>
  </w:abstractNum>
  <w:abstractNum w:abstractNumId="7">
    <w:nsid w:val="8EDBDAB"/>
    <w:multiLevelType w:val="hybridMultilevel"/>
    <w:lvl w:ilvl="0">
      <w:lvlJc w:val="left"/>
      <w:lvlText w:val="4"/>
      <w:numFmt w:val="bullet"/>
      <w:start w:val="1"/>
    </w:lvl>
  </w:abstractNum>
  <w:abstractNum w:abstractNumId="8">
    <w:nsid w:val="79838CB2"/>
    <w:multiLevelType w:val="hybridMultilevel"/>
    <w:lvl w:ilvl="0">
      <w:lvlJc w:val="left"/>
      <w:lvlText w:val="5"/>
      <w:numFmt w:val="bullet"/>
      <w:start w:val="1"/>
    </w:lvl>
  </w:abstractNum>
  <w:abstractNum w:abstractNumId="9">
    <w:nsid w:val="4353D0CD"/>
    <w:multiLevelType w:val="hybridMultilevel"/>
    <w:lvl w:ilvl="0">
      <w:lvlJc w:val="left"/>
      <w:lvlText w:val="6"/>
      <w:numFmt w:val="bullet"/>
      <w:start w:val="1"/>
    </w:lvl>
  </w:abstractNum>
  <w:abstractNum w:abstractNumId="10">
    <w:nsid w:val="B03E0C6"/>
    <w:multiLevelType w:val="hybridMultilevel"/>
    <w:lvl w:ilvl="0">
      <w:lvlJc w:val="left"/>
      <w:lvlText w:val="7"/>
      <w:numFmt w:val="bullet"/>
      <w:start w:val="1"/>
    </w:lvl>
  </w:abstractNum>
  <w:abstractNum w:abstractNumId="11">
    <w:nsid w:val="189A769B"/>
    <w:multiLevelType w:val="hybridMultilevel"/>
    <w:lvl w:ilvl="0">
      <w:lvlJc w:val="left"/>
      <w:lvlText w:val="8"/>
      <w:numFmt w:val="bullet"/>
      <w:start w:val="1"/>
    </w:lvl>
  </w:abstractNum>
  <w:abstractNum w:abstractNumId="12">
    <w:nsid w:val="54E49EB4"/>
    <w:multiLevelType w:val="hybridMultilevel"/>
    <w:lvl w:ilvl="0">
      <w:lvlJc w:val="left"/>
      <w:lvlText w:val="9"/>
      <w:numFmt w:val="bullet"/>
      <w:start w:val="1"/>
    </w:lvl>
  </w:abstractNum>
  <w:abstractNum w:abstractNumId="13">
    <w:nsid w:val="71F32454"/>
    <w:multiLevelType w:val="hybridMultilevel"/>
    <w:lvl w:ilvl="0">
      <w:lvlJc w:val="left"/>
      <w:lvlText w:val="%1"/>
      <w:numFmt w:val="decimal"/>
      <w:start w:val="10"/>
    </w:lvl>
  </w:abstractNum>
  <w:abstractNum w:abstractNumId="14">
    <w:nsid w:val="2CA88611"/>
    <w:multiLevelType w:val="hybridMultilevel"/>
    <w:lvl w:ilvl="0">
      <w:lvlJc w:val="left"/>
      <w:lvlText w:val="1"/>
      <w:numFmt w:val="bullet"/>
      <w:start w:val="1"/>
    </w:lvl>
  </w:abstractNum>
  <w:abstractNum w:abstractNumId="15">
    <w:nsid w:val="836C40E"/>
    <w:multiLevelType w:val="hybridMultilevel"/>
    <w:lvl w:ilvl="0">
      <w:lvlJc w:val="left"/>
      <w:lvlText w:val="2"/>
      <w:numFmt w:val="bullet"/>
      <w:start w:val="1"/>
    </w:lvl>
  </w:abstractNum>
  <w:abstractNum w:abstractNumId="16">
    <w:nsid w:val="2901D82"/>
    <w:multiLevelType w:val="hybridMultilevel"/>
    <w:lvl w:ilvl="0">
      <w:lvlJc w:val="left"/>
      <w:lvlText w:val="3"/>
      <w:numFmt w:val="bullet"/>
      <w:start w:val="1"/>
    </w:lvl>
  </w:abstractNum>
  <w:abstractNum w:abstractNumId="17">
    <w:nsid w:val="3A95F874"/>
    <w:multiLevelType w:val="hybridMultilevel"/>
    <w:lvl w:ilvl="0">
      <w:lvlJc w:val="left"/>
      <w:lvlText w:val="4"/>
      <w:numFmt w:val="bullet"/>
      <w:start w:val="1"/>
    </w:lvl>
  </w:abstractNum>
  <w:abstractNum w:abstractNumId="18">
    <w:nsid w:val="8138641"/>
    <w:multiLevelType w:val="hybridMultilevel"/>
    <w:lvl w:ilvl="0">
      <w:lvlJc w:val="left"/>
      <w:lvlText w:val="5"/>
      <w:numFmt w:val="bullet"/>
      <w:start w:val="1"/>
    </w:lvl>
  </w:abstractNum>
  <w:abstractNum w:abstractNumId="19">
    <w:nsid w:val="1E7FF521"/>
    <w:multiLevelType w:val="hybridMultilevel"/>
    <w:lvl w:ilvl="0">
      <w:lvlJc w:val="left"/>
      <w:lvlText w:val="6"/>
      <w:numFmt w:val="bullet"/>
      <w:start w:val="1"/>
    </w:lvl>
  </w:abstractNum>
  <w:abstractNum w:abstractNumId="20">
    <w:nsid w:val="7C3DBD3D"/>
    <w:multiLevelType w:val="hybridMultilevel"/>
    <w:lvl w:ilvl="0">
      <w:lvlJc w:val="left"/>
      <w:lvlText w:val="7"/>
      <w:numFmt w:val="bullet"/>
      <w:start w:val="1"/>
    </w:lvl>
  </w:abstractNum>
  <w:abstractNum w:abstractNumId="21">
    <w:nsid w:val="737B8DDC"/>
    <w:multiLevelType w:val="hybridMultilevel"/>
    <w:lvl w:ilvl="0">
      <w:lvlJc w:val="left"/>
      <w:lvlText w:val="8"/>
      <w:numFmt w:val="bullet"/>
      <w:start w:val="1"/>
    </w:lvl>
  </w:abstractNum>
  <w:abstractNum w:abstractNumId="22">
    <w:nsid w:val="6CEAF087"/>
    <w:multiLevelType w:val="hybridMultilevel"/>
    <w:lvl w:ilvl="0">
      <w:lvlJc w:val="left"/>
      <w:lvlText w:val="9"/>
      <w:numFmt w:val="bullet"/>
      <w:start w:val="1"/>
    </w:lvl>
  </w:abstractNum>
  <w:abstractNum w:abstractNumId="23">
    <w:nsid w:val="22221A70"/>
    <w:multiLevelType w:val="hybridMultilevel"/>
    <w:lvl w:ilvl="0">
      <w:lvlJc w:val="left"/>
      <w:lvlText w:val="%1"/>
      <w:numFmt w:val="decimal"/>
      <w:start w:val="10"/>
    </w:lvl>
  </w:abstractNum>
  <w:abstractNum w:abstractNumId="24">
    <w:nsid w:val="4516DDE9"/>
    <w:multiLevelType w:val="hybridMultilevel"/>
    <w:lvl w:ilvl="0">
      <w:lvlJc w:val="left"/>
      <w:lvlText w:val="1"/>
      <w:numFmt w:val="bullet"/>
      <w:start w:val="1"/>
    </w:lvl>
  </w:abstractNum>
  <w:abstractNum w:abstractNumId="25">
    <w:nsid w:val="3006C83E"/>
    <w:multiLevelType w:val="hybridMultilevel"/>
    <w:lvl w:ilvl="0">
      <w:lvlJc w:val="left"/>
      <w:lvlText w:val="2"/>
      <w:numFmt w:val="bullet"/>
      <w:start w:val="1"/>
    </w:lvl>
  </w:abstractNum>
  <w:abstractNum w:abstractNumId="26">
    <w:nsid w:val="614FD4A1"/>
    <w:multiLevelType w:val="hybridMultilevel"/>
    <w:lvl w:ilvl="0">
      <w:lvlJc w:val="left"/>
      <w:lvlText w:val="3"/>
      <w:numFmt w:val="bullet"/>
      <w:start w:val="1"/>
    </w:lvl>
  </w:abstractNum>
  <w:abstractNum w:abstractNumId="27">
    <w:nsid w:val="419AC241"/>
    <w:multiLevelType w:val="hybridMultilevel"/>
    <w:lvl w:ilvl="0">
      <w:lvlJc w:val="left"/>
      <w:lvlText w:val="4"/>
      <w:numFmt w:val="bullet"/>
      <w:start w:val="1"/>
    </w:lvl>
  </w:abstractNum>
  <w:abstractNum w:abstractNumId="28">
    <w:nsid w:val="5577F8E1"/>
    <w:multiLevelType w:val="hybridMultilevel"/>
    <w:lvl w:ilvl="0">
      <w:lvlJc w:val="left"/>
      <w:lvlText w:val="9"/>
      <w:numFmt w:val="bullet"/>
      <w:start w:val="1"/>
    </w:lvl>
  </w:abstractNum>
  <w:abstractNum w:abstractNumId="29">
    <w:nsid w:val="440BADFC"/>
    <w:multiLevelType w:val="hybridMultilevel"/>
    <w:lvl w:ilvl="0">
      <w:lvlJc w:val="left"/>
      <w:lvlText w:val="%1"/>
      <w:numFmt w:val="decimal"/>
      <w:start w:val="10"/>
    </w:lvl>
  </w:abstractNum>
  <w:abstractNum w:abstractNumId="30">
    <w:nsid w:val="5072367"/>
    <w:multiLevelType w:val="hybridMultilevel"/>
    <w:lvl w:ilvl="0">
      <w:lvlJc w:val="left"/>
      <w:lvlText w:val="1"/>
      <w:numFmt w:val="bullet"/>
      <w:start w:val="1"/>
    </w:lvl>
  </w:abstractNum>
  <w:abstractNum w:abstractNumId="31">
    <w:nsid w:val="3804823E"/>
    <w:multiLevelType w:val="hybridMultilevel"/>
    <w:lvl w:ilvl="0">
      <w:lvlJc w:val="left"/>
      <w:lvlText w:val="2"/>
      <w:numFmt w:val="bullet"/>
      <w:start w:val="1"/>
    </w:lvl>
  </w:abstractNum>
  <w:abstractNum w:abstractNumId="32">
    <w:nsid w:val="77465F01"/>
    <w:multiLevelType w:val="hybridMultilevel"/>
    <w:lvl w:ilvl="0">
      <w:lvlJc w:val="left"/>
      <w:lvlText w:val="3"/>
      <w:numFmt w:val="bullet"/>
      <w:start w:val="1"/>
    </w:lvl>
  </w:abstractNum>
  <w:abstractNum w:abstractNumId="33">
    <w:nsid w:val="7724C67E"/>
    <w:multiLevelType w:val="hybridMultilevel"/>
    <w:lvl w:ilvl="0">
      <w:lvlJc w:val="left"/>
      <w:lvlText w:val="4"/>
      <w:numFmt w:val="bullet"/>
      <w:start w:val="1"/>
    </w:lvl>
  </w:abstractNum>
  <w:abstractNum w:abstractNumId="34">
    <w:nsid w:val="5C482A97"/>
    <w:multiLevelType w:val="hybridMultilevel"/>
    <w:lvl w:ilvl="0">
      <w:lvlJc w:val="left"/>
      <w:lvlText w:val="9"/>
      <w:numFmt w:val="bullet"/>
      <w:start w:val="1"/>
    </w:lvl>
  </w:abstractNum>
  <w:abstractNum w:abstractNumId="35">
    <w:nsid w:val="2463B9EA"/>
    <w:multiLevelType w:val="hybridMultilevel"/>
    <w:lvl w:ilvl="0">
      <w:lvlJc w:val="left"/>
      <w:lvlText w:val="%1"/>
      <w:numFmt w:val="decimal"/>
      <w:start w:val="10"/>
    </w:lvl>
  </w:abstractNum>
  <w:abstractNum w:abstractNumId="36">
    <w:nsid w:val="5E884ADC"/>
    <w:multiLevelType w:val="hybridMultilevel"/>
    <w:lvl w:ilvl="0">
      <w:lvlJc w:val="left"/>
      <w:lvlText w:val="(%1)"/>
      <w:numFmt w:val="lowerLetter"/>
      <w:start w:val="2"/>
    </w:lvl>
  </w:abstractNum>
  <w:abstractNum w:abstractNumId="37">
    <w:nsid w:val="51EAD36B"/>
    <w:multiLevelType w:val="hybridMultilevel"/>
    <w:lvl w:ilvl="0">
      <w:lvlJc w:val="left"/>
      <w:lvlText w:val="(%1)"/>
      <w:numFmt w:val="lowerLetter"/>
      <w:start w:val="2"/>
    </w:lvl>
  </w:abstractNum>
  <w:abstractNum w:abstractNumId="38">
    <w:nsid w:val="2D517796"/>
    <w:multiLevelType w:val="hybridMultilevel"/>
    <w:lvl w:ilvl="0">
      <w:lvlJc w:val="left"/>
      <w:lvlText w:val="(%1)"/>
      <w:numFmt w:val="lowerLetter"/>
      <w:start w:val="3"/>
    </w:lvl>
  </w:abstractNum>
  <w:abstractNum w:abstractNumId="39">
    <w:nsid w:val="580BD78F"/>
    <w:multiLevelType w:val="hybridMultilevel"/>
    <w:lvl w:ilvl="0">
      <w:lvlJc w:val="left"/>
      <w:lvlText w:val="(%1)"/>
      <w:numFmt w:val="lowerLetter"/>
      <w:start w:val="4"/>
    </w:lvl>
  </w:abstractNum>
  <w:abstractNum w:abstractNumId="40">
    <w:nsid w:val="153EA438"/>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2020-12-28T16:04:27Z</dcterms:created>
  <dcterms:modified xsi:type="dcterms:W3CDTF">2020-12-28T16:04:27Z</dcterms:modified>
</cp:coreProperties>
</file>