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2508250</wp:posOffset>
            </wp:positionH>
            <wp:positionV relativeFrom="paragraph">
              <wp:posOffset>280035</wp:posOffset>
            </wp:positionV>
            <wp:extent cx="213423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Opendoor Technologies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205740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300355</wp:posOffset>
            </wp:positionV>
            <wp:extent cx="713232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454660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This filing contains a message from Kaz Nejatian, Chief Executive Officer of Opendoor Technologies Inc. (“Opendoor”), posted on X on June 2, 2026.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are an Opendoor shareholder, I have an ask.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advisors at ISS and Glass Lewis have recommended shareholders to vote against me at our Annual Meeting. I don’t take this personally. This is the fifth time in my career these same people have told people to vote against my team.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right="5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These proxy advisors have built no companies and are not meaningful shareholders of OPEN. They're a checkbox industry charging fees to tell other people what to do with shares that aren't theirs.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Usually most companies can’t do anything about this since many institutional shareholders will just vote the way ISS tells them to.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But Opendoor has the Open Army!  It is important that we stand up against this separation of management from shareholders.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are so inclined, help tilt the world in favor of shareholders and away from bureaucrats.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Find out how (ask your broker, check your emails) and vote your shares.  Our board is excellent. We are back on mission and we are winning.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Don't outsource your vote. Read the proxy. Vote your shares.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351790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20"/>
      </w:cols>
      <w:pgMar w:left="320" w:top="1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2026-06-02T16:49:57Z</dcterms:created>
  <dcterms:modified xsi:type="dcterms:W3CDTF">2026-06-02T16:49:57Z</dcterms:modified>
</cp:coreProperties>
</file>