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611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Low Ah Kee Andrew</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410 N. SCOTTSDALE ROAD, SUITE 1600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jc w:val="cente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Opendoor Technologies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OPEN</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4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02/16/2022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580" w:type="dxa"/>
            <w:vAlign w:val="bottom"/>
          </w:tcPr>
          <w:p>
            <w:pPr>
              <w:ind w:left="100"/>
              <w:spacing w:after="0"/>
              <w:rPr>
                <w:sz w:val="20"/>
                <w:szCs w:val="20"/>
                <w:color w:val="auto"/>
              </w:rPr>
            </w:pPr>
            <w:r>
              <w:rPr>
                <w:rFonts w:ascii="Arial" w:cs="Arial" w:eastAsia="Arial" w:hAnsi="Arial"/>
                <w:sz w:val="13"/>
                <w:szCs w:val="13"/>
                <w:color w:val="auto"/>
              </w:rPr>
              <w:t>Director</w:t>
            </w:r>
          </w:p>
        </w:tc>
        <w:tc>
          <w:tcPr>
            <w:tcW w:w="920" w:type="dxa"/>
            <w:vAlign w:val="bottom"/>
          </w:tcPr>
          <w:p>
            <w:pPr>
              <w:ind w:left="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58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920" w:type="dxa"/>
            <w:vAlign w:val="bottom"/>
          </w:tcPr>
          <w:p>
            <w:pPr>
              <w:ind w:left="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5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920" w:type="dxa"/>
            <w:vAlign w:val="bottom"/>
            <w:vMerge w:val="restart"/>
          </w:tcPr>
          <w:p>
            <w:pPr>
              <w:ind w:left="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20" w:type="dxa"/>
            <w:vAlign w:val="bottom"/>
          </w:tcPr>
          <w:p>
            <w:pPr>
              <w:spacing w:after="0"/>
              <w:rPr>
                <w:sz w:val="21"/>
                <w:szCs w:val="21"/>
                <w:color w:val="auto"/>
              </w:rPr>
            </w:pPr>
          </w:p>
        </w:tc>
        <w:tc>
          <w:tcPr>
            <w:tcW w:w="1580" w:type="dxa"/>
            <w:vAlign w:val="bottom"/>
          </w:tcPr>
          <w:p>
            <w:pPr>
              <w:ind w:left="840"/>
              <w:spacing w:after="0"/>
              <w:rPr>
                <w:sz w:val="20"/>
                <w:szCs w:val="20"/>
                <w:color w:val="auto"/>
              </w:rPr>
            </w:pPr>
            <w:r>
              <w:rPr>
                <w:rFonts w:ascii="Arial" w:cs="Arial" w:eastAsia="Arial" w:hAnsi="Arial"/>
                <w:sz w:val="17"/>
                <w:szCs w:val="17"/>
                <w:color w:val="0000FF"/>
              </w:rPr>
              <w:t>President</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96" w:lineRule="exact"/>
        <w:rPr>
          <w:sz w:val="24"/>
          <w:szCs w:val="24"/>
          <w:color w:val="auto"/>
        </w:rPr>
      </w:pPr>
    </w:p>
    <w:p>
      <w:pPr>
        <w:sectPr>
          <w:pgSz w:w="11900" w:h="16838" w:orient="portrait"/>
          <w:cols w:equalWidth="0" w:num="3">
            <w:col w:w="3240" w:space="680"/>
            <w:col w:w="3160" w:space="655"/>
            <w:col w:w="3345"/>
          </w:cols>
          <w:pgMar w:left="460" w:top="225" w:right="359" w:bottom="1440" w:gutter="0" w:footer="0" w:header="0"/>
          <w:type w:val="continuous"/>
        </w:sectPr>
      </w:pPr>
    </w:p>
    <w:p>
      <w:pPr>
        <w:spacing w:after="0" w:line="170"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7"/>
                <w:szCs w:val="17"/>
                <w:color w:val="0000FF"/>
              </w:rPr>
              <w:t>TEMPE</w:t>
            </w:r>
          </w:p>
        </w:tc>
        <w:tc>
          <w:tcPr>
            <w:tcW w:w="1140" w:type="dxa"/>
            <w:vAlign w:val="bottom"/>
          </w:tcPr>
          <w:p>
            <w:pPr>
              <w:ind w:left="320"/>
              <w:spacing w:after="0"/>
              <w:rPr>
                <w:sz w:val="20"/>
                <w:szCs w:val="20"/>
                <w:color w:val="auto"/>
              </w:rPr>
            </w:pPr>
            <w:r>
              <w:rPr>
                <w:rFonts w:ascii="Arial" w:cs="Arial" w:eastAsia="Arial" w:hAnsi="Arial"/>
                <w:sz w:val="17"/>
                <w:szCs w:val="17"/>
                <w:color w:val="0000FF"/>
              </w:rPr>
              <w:t>AZ</w:t>
            </w:r>
          </w:p>
        </w:tc>
        <w:tc>
          <w:tcPr>
            <w:tcW w:w="1600" w:type="dxa"/>
            <w:vAlign w:val="bottom"/>
          </w:tcPr>
          <w:p>
            <w:pPr>
              <w:ind w:left="400"/>
              <w:spacing w:after="0"/>
              <w:rPr>
                <w:sz w:val="20"/>
                <w:szCs w:val="20"/>
                <w:color w:val="auto"/>
              </w:rPr>
            </w:pPr>
            <w:r>
              <w:rPr>
                <w:rFonts w:ascii="Arial" w:cs="Arial" w:eastAsia="Arial" w:hAnsi="Arial"/>
                <w:sz w:val="17"/>
                <w:szCs w:val="17"/>
                <w:color w:val="0000FF"/>
              </w:rPr>
              <w:t>85281</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12"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30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20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300"/>
              <w:spacing w:after="0" w:line="131"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2"/>
          </w:tcPr>
          <w:p>
            <w:pPr>
              <w:ind w:left="400"/>
              <w:spacing w:after="0"/>
              <w:rPr>
                <w:sz w:val="20"/>
                <w:szCs w:val="20"/>
                <w:color w:val="auto"/>
              </w:rPr>
            </w:pPr>
            <w:r>
              <w:rPr>
                <w:rFonts w:ascii="Arial" w:cs="Arial" w:eastAsia="Arial" w:hAnsi="Arial"/>
                <w:sz w:val="17"/>
                <w:szCs w:val="17"/>
                <w:color w:val="0000FF"/>
              </w:rPr>
              <w:t>02/16/2022</w:t>
            </w: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8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127,975</w:t>
            </w:r>
          </w:p>
        </w:tc>
        <w:tc>
          <w:tcPr>
            <w:tcW w:w="44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9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11.0106</w:t>
            </w:r>
            <w:r>
              <w:rPr>
                <w:rFonts w:ascii="Arial" w:cs="Arial" w:eastAsia="Arial" w:hAnsi="Arial"/>
                <w:sz w:val="22"/>
                <w:szCs w:val="22"/>
                <w:color w:val="008000"/>
                <w:w w:val="92"/>
                <w:vertAlign w:val="superscript"/>
              </w:rPr>
              <w:t>(2)</w:t>
            </w:r>
          </w:p>
        </w:tc>
        <w:tc>
          <w:tcPr>
            <w:tcW w:w="118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3,859,570</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88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4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 was effected pursuant to a Rule 10b5-1 instruction letter to satisfy the Reporting Person's tax withholding obligation upon the vesting of previously granted equity awards.</w:t>
      </w:r>
    </w:p>
    <w:p>
      <w:pPr>
        <w:spacing w:after="0" w:line="50" w:lineRule="exact"/>
        <w:rPr>
          <w:rFonts w:ascii="Arial" w:cs="Arial" w:eastAsia="Arial" w:hAnsi="Arial"/>
          <w:sz w:val="13"/>
          <w:szCs w:val="13"/>
          <w:color w:val="008000"/>
        </w:rPr>
      </w:pPr>
    </w:p>
    <w:p>
      <w:pPr>
        <w:ind w:left="40" w:right="24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$10.76 to $11.19, inclusive. The Reporting Person undertakes to provide to the Issuer, any security holder of the Issuer or the staff of the Securities and Exchange Commission, upon request, full information regarding the number of shares sold at each separate price at which the transactions were effected.</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Carrie Wheeler, Attorney-</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02/18/2022</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27319" TargetMode="External"/><Relationship Id="rId13" Type="http://schemas.openxmlformats.org/officeDocument/2006/relationships/hyperlink" Target="http://www.sec.gov/cgi-bin/browse-edgar?action=getcompany&amp;CIK=000180116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2022-02-18T19:45:49Z</dcterms:created>
  <dcterms:modified xsi:type="dcterms:W3CDTF">2022-02-18T19:45:49Z</dcterms:modified>
</cp:coreProperties>
</file>