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11, 2021 (February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Opendoor Technologies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30"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001-39253</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98-1515020</w:t>
      </w:r>
    </w:p>
    <w:p>
      <w:pPr>
        <w:spacing w:after="0" w:line="27"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00" w:space="720"/>
            <w:col w:w="2480"/>
          </w:cols>
          <w:pgMar w:left="320" w:top="1030"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N. Scottsdale Road, Suite 1600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Tempe, Arizona 85281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(415) 896-6737</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p>
      <w:pPr>
        <w:spacing w:after="0" w:line="200" w:lineRule="exact"/>
        <w:rPr>
          <w:sz w:val="24"/>
          <w:szCs w:val="24"/>
          <w:color w:val="auto"/>
        </w:rPr>
      </w:pPr>
    </w:p>
    <w:p>
      <w:pPr>
        <w:spacing w:after="0" w:line="33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3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Title of Each Class</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220" w:type="dxa"/>
            <w:vAlign w:val="bottom"/>
          </w:tcPr>
          <w:p>
            <w:pPr>
              <w:spacing w:after="0"/>
              <w:rPr>
                <w:sz w:val="16"/>
                <w:szCs w:val="16"/>
                <w:color w:val="auto"/>
              </w:rPr>
            </w:pPr>
          </w:p>
        </w:tc>
        <w:tc>
          <w:tcPr>
            <w:tcW w:w="2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OPEN</w:t>
            </w:r>
          </w:p>
        </w:tc>
        <w:tc>
          <w:tcPr>
            <w:tcW w:w="220" w:type="dxa"/>
            <w:vAlign w:val="bottom"/>
          </w:tcPr>
          <w:p>
            <w:pPr>
              <w:spacing w:after="0"/>
              <w:rPr>
                <w:sz w:val="16"/>
                <w:szCs w:val="16"/>
                <w:color w:val="auto"/>
              </w:rPr>
            </w:pPr>
          </w:p>
        </w:tc>
        <w:tc>
          <w:tcPr>
            <w:tcW w:w="4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Nasdaq Global Select Market</w:t>
            </w:r>
          </w:p>
        </w:tc>
      </w:tr>
      <w:tr>
        <w:trPr>
          <w:trHeight w:val="230"/>
        </w:trPr>
        <w:tc>
          <w:tcPr>
            <w:tcW w:w="3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Warrants</w:t>
            </w:r>
          </w:p>
        </w:tc>
        <w:tc>
          <w:tcPr>
            <w:tcW w:w="28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OPENW</w:t>
            </w: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9, 2021, Opendoor Technologies Inc. (the “Company”) completed an underwritten public offering (the “Offering”) of 28,536,888 shares (the “Firm Shares”) of its common stock, par value $0.0001 per share (the “Common Stock”), pursuant to the terms of an Underwriting Agreement (the “Underwriting Agreement”), dated February 4, 2021, with Citigroup Global Markets Inc. and Goldman Sachs &amp; Co. LLC, as representatives (the “Representatives”) of the several underwriters named therein. On February 9, 2021, the Representatives exercised in full the option granted to them in the Underwriting Agreement to purchase up to 4,280,533 additional shares (the “Option Shares”) of Common Stock, and the sale of the Option Shares was completed on February 11, 2021. In total, including the Firm Shares and the Option Shares, the Company sold 32,817,421 shares of its Common Stock at a public offering price of $27.00 per share for a total offering size of approximately $886.1 million.</w:t>
      </w:r>
    </w:p>
    <w:p>
      <w:pPr>
        <w:spacing w:after="0" w:line="17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shares of Common Stock in the Offering were offered on a prospectus filed as part of the Registration Statement on Form S-1 (Commission File No. 333-252666), which was declared effective by the Securities and Exchange Commission on February 4, 2021, as amended by the Registration Statement on Form S-1 (Commission File No. 333-252748), filed pursuant to Rule 462(b) of the Securities Act of 1933, as amended, on February 4, 2021. The Company received aggregate proceeds from the Offering of approximately $859.5 million (net of underwriting discounts and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Arial" w:cs="Arial" w:eastAsia="Arial" w:hAnsi="Arial"/>
                <w:sz w:val="18"/>
                <w:szCs w:val="18"/>
                <w:b w:val="1"/>
                <w:bCs w:val="1"/>
                <w:color w:val="auto"/>
              </w:rPr>
              <w:t>OPENDOOR TECHNOLOGIES INC.</w:t>
            </w: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February 11, 2021</w:t>
            </w:r>
          </w:p>
        </w:tc>
        <w:tc>
          <w:tcPr>
            <w:tcW w:w="7480" w:type="dxa"/>
            <w:vAlign w:val="bottom"/>
            <w:gridSpan w:val="2"/>
          </w:tcPr>
          <w:p>
            <w:pPr>
              <w:ind w:left="1880"/>
              <w:spacing w:after="0"/>
              <w:rPr>
                <w:sz w:val="20"/>
                <w:szCs w:val="20"/>
                <w:color w:val="auto"/>
              </w:rPr>
            </w:pPr>
            <w:r>
              <w:rPr>
                <w:rFonts w:ascii="Arial" w:cs="Arial" w:eastAsia="Arial" w:hAnsi="Arial"/>
                <w:sz w:val="18"/>
                <w:szCs w:val="18"/>
                <w:color w:val="auto"/>
              </w:rPr>
              <w:t>By: /s/ Carrie Wheeler</w:t>
            </w:r>
          </w:p>
        </w:tc>
      </w:tr>
      <w:tr>
        <w:trPr>
          <w:trHeight w:val="195"/>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Carrie Wheeler</w:t>
            </w:r>
          </w:p>
        </w:tc>
      </w:tr>
      <w:tr>
        <w:trPr>
          <w:trHeight w:val="230"/>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2021-02-11T15:19:01Z</dcterms:created>
  <dcterms:modified xsi:type="dcterms:W3CDTF">2021-02-11T15:19:01Z</dcterms:modified>
</cp:coreProperties>
</file>