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Date of Report (Date of earliest event reported): August 12, 2026</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Opendoor Technologies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tbl>
      <w:tblPr>
        <w:tblW w:w="8685" w:type="dxa"/>
        <w:jc w:val="left"/>
        <w:tblInd w:w="0" w:type="dxa"/>
        <w:tblLayout w:type="fixed"/>
        <w:tblCellMar>
          <w:top w:w="0" w:type="dxa"/>
          <w:left w:w="0" w:type="dxa"/>
          <w:bottom w:w="0" w:type="dxa"/>
          <w:right w:w="0" w:type="dxa"/>
        </w:tblCellMar>
      </w:tblPr>
      <w:tblGrid>
        <w:gridCol w:w="3575"/>
        <w:gridCol w:w="2210"/>
        <w:gridCol w:w="2900"/>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001-39253</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30-1318214</w:t>
            </w:r>
          </w:p>
        </w:tc>
      </w:tr>
      <w:tr>
        <w:trPr/>
        <w:tc>
          <w:tcPr>
            <w:tcW w:w="3575" w:type="dxa"/>
            <w:tcBorders/>
            <w:vAlign w:val="center"/>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298" w:type="dxa"/>
        <w:jc w:val="left"/>
        <w:tblInd w:w="0" w:type="dxa"/>
        <w:tblLayout w:type="fixed"/>
        <w:tblCellMar>
          <w:top w:w="0" w:type="dxa"/>
          <w:left w:w="0" w:type="dxa"/>
          <w:bottom w:w="0" w:type="dxa"/>
          <w:right w:w="0" w:type="dxa"/>
        </w:tblCellMar>
      </w:tblPr>
      <w:tblGrid>
        <w:gridCol w:w="7333"/>
        <w:gridCol w:w="60"/>
        <w:gridCol w:w="905"/>
      </w:tblGrid>
      <w:tr>
        <w:trPr/>
        <w:tc>
          <w:tcPr>
            <w:tcW w:w="7333" w:type="dxa"/>
            <w:tcBorders/>
            <w:vAlign w:val="center"/>
          </w:tcPr>
          <w:p>
            <w:pPr>
              <w:pStyle w:val="TableContents"/>
              <w:bidi w:val="0"/>
              <w:spacing w:before="0" w:after="0"/>
              <w:ind w:left="0" w:right="3953" w:hanging="0"/>
              <w:jc w:val="center"/>
              <w:rPr>
                <w:rFonts w:ascii="Times New Roman" w:hAnsi="Times New Roman"/>
                <w:b/>
                <w:color w:val="000000"/>
                <w:sz w:val="20"/>
              </w:rPr>
            </w:pPr>
            <w:r>
              <w:rPr>
                <w:rFonts w:ascii="Times New Roman" w:hAnsi="Times New Roman"/>
                <w:b/>
                <w:color w:val="000000"/>
                <w:sz w:val="20"/>
              </w:rPr>
              <w:t>1295 West Washington Street, Suite 115</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7333" w:type="dxa"/>
            <w:tcBorders/>
            <w:vAlign w:val="center"/>
          </w:tcPr>
          <w:p>
            <w:pPr>
              <w:pStyle w:val="TableContents"/>
              <w:bidi w:val="0"/>
              <w:spacing w:before="0" w:after="0"/>
              <w:ind w:left="0" w:right="3953" w:hanging="0"/>
              <w:jc w:val="center"/>
              <w:rPr>
                <w:rFonts w:ascii="Times New Roman" w:hAnsi="Times New Roman"/>
                <w:b/>
                <w:color w:val="000000"/>
                <w:sz w:val="20"/>
              </w:rPr>
            </w:pPr>
            <w:r>
              <w:rPr>
                <w:rFonts w:ascii="Times New Roman" w:hAnsi="Times New Roman"/>
                <w:b/>
                <w:color w:val="000000"/>
                <w:sz w:val="20"/>
              </w:rPr>
              <w:t>Tempe, AZ</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85288</w:t>
            </w:r>
          </w:p>
        </w:tc>
      </w:tr>
      <w:tr>
        <w:trPr/>
        <w:tc>
          <w:tcPr>
            <w:tcW w:w="7333" w:type="dxa"/>
            <w:tcBorders/>
            <w:vAlign w:val="center"/>
          </w:tcPr>
          <w:p>
            <w:pPr>
              <w:pStyle w:val="TableContents"/>
              <w:bidi w:val="0"/>
              <w:spacing w:before="0" w:after="0"/>
              <w:ind w:left="0" w:right="3953" w:hanging="0"/>
              <w:jc w:val="center"/>
              <w:rPr>
                <w:rFonts w:ascii="Times New Roman" w:hAnsi="Times New Roman"/>
                <w:b w:val="false"/>
                <w:color w:val="000000"/>
                <w:sz w:val="20"/>
              </w:rPr>
            </w:pPr>
            <w:r>
              <w:rPr>
                <w:rFonts w:ascii="Times New Roman" w:hAnsi="Times New Roman"/>
                <w:b w:val="false"/>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(480) 618-6760</w:t>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28" w:type="dxa"/>
          <w:right w:w="0" w:type="dxa"/>
        </w:tblCellMar>
      </w:tblPr>
      <w:tblGrid>
        <w:gridCol w:w="7417"/>
        <w:gridCol w:w="60"/>
        <w:gridCol w:w="725"/>
        <w:gridCol w:w="60"/>
        <w:gridCol w:w="1943"/>
      </w:tblGrid>
      <w:tr>
        <w:trPr/>
        <w:tc>
          <w:tcPr>
            <w:tcW w:w="7417"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Title of each class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725"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Symbol(s)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943"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on which registered</w:t>
            </w:r>
          </w:p>
        </w:tc>
      </w:tr>
      <w:tr>
        <w:trPr/>
        <w:tc>
          <w:tcPr>
            <w:tcW w:w="7417"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$0.0001 par value per share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72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94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7417"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K Warrants, each whole warrant exercisable to purchase one share of common stock at an exercise price of $9.00 per warrant</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OPENW</w:t>
            </w:r>
          </w:p>
        </w:tc>
        <w:tc>
          <w:tcPr>
            <w:tcW w:w="60" w:type="dxa"/>
            <w:tcBorders/>
            <w:tcMar>
              <w:bottom w:w="0" w:type="dxa"/>
            </w:tcMar>
            <w:vAlign w:val="center"/>
          </w:tcPr>
          <w:p>
            <w:pPr>
              <w:pStyle w:val="TableContents"/>
              <w:bidi w:val="0"/>
              <w:spacing w:before="0" w:after="283"/>
              <w:jc w:val="left"/>
              <w:rPr/>
            </w:pPr>
            <w:r>
              <w:rPr/>
              <w:t> </w:t>
            </w:r>
          </w:p>
        </w:tc>
        <w:tc>
          <w:tcPr>
            <w:tcW w:w="194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7417"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A Warrants, each whole warrant exercisable to purchase one share of common stock at an exercise price of $13.00 per warrant</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OPENL</w:t>
            </w:r>
          </w:p>
        </w:tc>
        <w:tc>
          <w:tcPr>
            <w:tcW w:w="60" w:type="dxa"/>
            <w:tcBorders/>
            <w:tcMar>
              <w:bottom w:w="0" w:type="dxa"/>
            </w:tcMar>
            <w:vAlign w:val="center"/>
          </w:tcPr>
          <w:p>
            <w:pPr>
              <w:pStyle w:val="TableContents"/>
              <w:bidi w:val="0"/>
              <w:spacing w:before="0" w:after="283"/>
              <w:jc w:val="left"/>
              <w:rPr/>
            </w:pPr>
            <w:r>
              <w:rPr/>
              <w:t> </w:t>
            </w:r>
          </w:p>
        </w:tc>
        <w:tc>
          <w:tcPr>
            <w:tcW w:w="194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7417"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Z Warrants, each whole warrant exercisable to purchase one share of common stock at an exercise price of $17.00 per warrant</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OPENZ</w:t>
            </w:r>
          </w:p>
        </w:tc>
        <w:tc>
          <w:tcPr>
            <w:tcW w:w="60" w:type="dxa"/>
            <w:tcBorders/>
            <w:tcMar>
              <w:bottom w:w="0" w:type="dxa"/>
            </w:tcMar>
            <w:vAlign w:val="center"/>
          </w:tcPr>
          <w:p>
            <w:pPr>
              <w:pStyle w:val="TableContents"/>
              <w:bidi w:val="0"/>
              <w:spacing w:before="0" w:after="283"/>
              <w:jc w:val="left"/>
              <w:rPr/>
            </w:pPr>
            <w:r>
              <w:rPr/>
              <w:t> </w:t>
            </w:r>
          </w:p>
        </w:tc>
        <w:tc>
          <w:tcPr>
            <w:tcW w:w="194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525" w:type="dxa"/>
        <w:jc w:val="left"/>
        <w:tblInd w:w="0" w:type="dxa"/>
        <w:tblLayout w:type="fixed"/>
        <w:tblCellMar>
          <w:top w:w="0" w:type="dxa"/>
          <w:left w:w="0" w:type="dxa"/>
          <w:bottom w:w="0" w:type="dxa"/>
          <w:right w:w="0" w:type="dxa"/>
        </w:tblCellMar>
      </w:tblPr>
      <w:tblGrid>
        <w:gridCol w:w="830"/>
        <w:gridCol w:w="369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1.01</w:t>
            </w:r>
          </w:p>
        </w:tc>
        <w:tc>
          <w:tcPr>
            <w:tcW w:w="3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12, 2026, Opendoor Technologies Inc. (the “Company”) entered into separate, privately negotiated subscription agreements (the “Subscription Agreements”) with certain investors, pursuant to which the Company will issue $650 million aggregate principal amount of its 0.00% Convertible Senior Notes due 2030 (the “Notes”) to such investors (the “Transactions”), in each case, pursuant to exemptions from registration under the Securities Act of 1933, as amended (the “Securities Act”), and the rules and regulations thereunder.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Notes will be issued under an indenture (the “Indenture”), expected to be dated on or around August 19, 2026, between the Company and U.S. Bank Trust Company, National Association.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Notes will be senior, unsecured obligations of the Company. The Notes will not bear regular interest, and the principal amount of the Notes will not accrete. The Notes will mature on August 15, 2030, unless earlier repurchased, redeemed or converted. Before February 15, 2030, noteholders will have the right to convert their Notes only upon the occurrence of certain events. From and including February 15, 2030, noteholders may convert their Notes at any time at their election until the close of business on the second scheduled trading day immediately before the maturity date. The Company will settle conversions by paying or delivering, as the case may be, cash, shares of its common stock or a combination of cash and shares of its common stock, at its election. The initial conversion rate is 212.2466 shares of common stock per $1,000 principal amount of Notes, which represents an initial conversion price of approximately $4.71 per share of common stock. Based on the initial conversion rate, 137,960,290 shares of common stock would be issued upon conversion of the Notes. The initial conversion price represents a premium of approximately 35% over the last reported sale price of $3.49 per share of the Company’s common stock on August 12, 2026. The conversion rate and conversion price will be subject to adjustment upon the occurrence of certain events.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Except in the case of a “Cleanup Redemption” (as defined below) the Company may not redeem the Notes prior to February 22, 2029. Notes will be redeemable, in whole or in part (subject to certain limitations), for cash at the Company’s option at any time, and from time to time, on a redemption date on or after February 22, 2029 and on or before the 36th scheduled trading day immediately before the maturity date, but only if the last reported sale price per share of the Company’s common stock exceeds 130% of the conversion price for a specified period of time and certain liquidity conditions have been satisfied. The redemption price will be equal to the principal amount of the Notes to be redeemed, plus accrued and unpaid special interest and additional interest, if any, to, but excluding, the redemption date. In addition, the Company may redeem for cash all, but not less than all, of the Notes, at any time on or before the 36th scheduled trading day immediately before the maturity date, at a redemption price equal to 100% of the principal amount of the Notes to be redeemed, plus accrued and unpaid special interest and additional interest, if any, to, but excluding, the redemption date if less than $75 million aggregate principal amount of the Notes remains outstanding and certain liquidity conditions have been satisfied (such redemption, a “Cleanup Redemption”).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Noteholders will have the right to require the Company to repurchase all or part of their Notes for cash, subject to certain conditions, in the event of certain fundamental changes (as defined in the Indenture), at a repurchase price equal to 100% of the principal amount of the Notes to be repurchased, plus accrued and unpaid special interest and additional interest, if any, to, but excluding, the relevant repurchase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Transactions, the Company intends to repurchase approximately $158 million of shares of its common stock from certain participants in the Transactions through a financial intermediary at the last reported sale price of the common stock on August 12, 2026, and the Company has been advised that J. Wood Capital Advisors LLC (“JWCA”), the placement agent for the Transactions, intends to purchase approximately $25 million of shares of the Company’s common stock from certain participants in the Transactions through a financial intermediary at a discount to the last reported sale price of the common stock on August 12, 2026. The Company and JWCA have also each agreed not to issue or sell such shares of common stock for 30 days. Such concurrent repurchases by the Company and purchases by JWCA of the Company’s common stock could increase (or reduce the size of any decrease in) the market price of the Company’s common stock or the Notes.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Transactions, the Company entered into privately negotiated capped call transactions (the “capped call transactions”) with certain financial institutions (the “option counterparties”). The capped call transactions cover, subject to certain customary adjustments, the number of shares of the Company’s common stock that will initially underlie the Notes.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cap price of the capped call transactions is initially $6.98 per share of the Company’s common stock, which represents a 100% premium over the closing price of the Company’s common stock on August 12, 2026, and is subject to certain adjustments under the terms of the capped call transactions.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capped call transactions are expected generally to reduce the potential dilution to the Company’s common stock upon any conversion of the Notes and/or offset any potential cash payments the Company is required to make in excess of the principal amount of converted Notes, as the case may be, upon conversion of the Notes. If, however, the market price per share of the Company’s common stock,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establishing their initial hedge positions with respect to the capped call transactions, the option counterparties and/or their respective affiliates expect to enter into various derivative transactions with respect to the Company’s common stock and/or purchase shares of its common stock concurrently with or shortly after the Company’s entry into the Transactions. This activity could increase (or reduce the size of any decrease in) the market price of the Company’s common stock or the Notes at that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addition, the option counterparties or their respective affiliates may modify their hedge positions by entering into or unwinding various derivative transactions with respect to the Company’s common stock and/or purchasing or selling the Company’s common stock or other securities of the Company in secondary market transactions following the Company’s entry into the Transactions and prior to the maturity of the Notes (and are likely to do so following any conversion of the Notes, any repurchase of the Notes by the Company on any fundamental change repurchase date, any redemption date or any other date on which the Notes are retired by the Company, in each case, if the Company exercises its option to terminate the relevant portion of the capped call transactions). This activity could also cause or avoid an increase or a decrease in the market price of the Company’s common stock or the Notes, which could affect the ability of noteholders to convert their Notes, and, to the extent the activity occurs during any observation period related to a conversion of Notes, it could affect the amount and value of the consideration that noteholders will receive upon conversion of the Notes.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expects that the gross proceeds from the Transactions will be $650 million, excluding offering fees and transaction expenses. The Company intends to use approximately $52.5 million of the proceeds from the Transactions to fund the cost of entering the capped call transactions and approximately $158.0 million to repurchase approximately 45.3 million shares of its common stock. The Company intends to use the remainder of the proceeds from the Transactions for general corporate purposes. The Transactions and the capped call transactions are expected to close concurrently on or about August 19, 2026, subject to customary closing conditions.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 copy of the Form of Subscription Agreement and a copy of the Form of Capped Call Confirmation are filed as Exhibits 10.1 and 10.2, respectively, to this Current Report on Form 8-K and are incorporated herein by reference. Each of the foregoing descriptions of the Form of Subscription Agreement and the Form of Capped Call Confirmation is qualified in its entirety by reference to the applicable exhibit.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Current Report on Form 8-K does not constitute an offer to sell, nor is it a solicitation of an offer to buy, the Notes or the Company’s common stock, nor shall there be any sale of the Notes or the Company’s common stock in any state or jurisdiction in which such an offer, solicitation or sale would be unlawful prior to registration or qualification under the securities laws of any state or any jurisdiction.</w:t>
      </w:r>
    </w:p>
    <w:p>
      <w:pPr>
        <w:pStyle w:val="TextBody"/>
        <w:bidi w:val="0"/>
        <w:spacing w:before="0" w:after="0"/>
        <w:jc w:val="left"/>
        <w:rPr>
          <w:rFonts w:ascii="Times New Roman" w:hAnsi="Times New Roman"/>
          <w:sz w:val="20"/>
        </w:rPr>
      </w:pPr>
      <w:r>
        <w:rPr>
          <w:rFonts w:ascii="Times New Roman" w:hAnsi="Times New Roman"/>
          <w:sz w:val="20"/>
        </w:rPr>
      </w:r>
    </w:p>
    <w:tbl>
      <w:tblPr>
        <w:tblW w:w="4135" w:type="dxa"/>
        <w:jc w:val="left"/>
        <w:tblInd w:w="0" w:type="dxa"/>
        <w:tblLayout w:type="fixed"/>
        <w:tblCellMar>
          <w:top w:w="0" w:type="dxa"/>
          <w:left w:w="0" w:type="dxa"/>
          <w:bottom w:w="0" w:type="dxa"/>
          <w:right w:w="0" w:type="dxa"/>
        </w:tblCellMar>
      </w:tblPr>
      <w:tblGrid>
        <w:gridCol w:w="830"/>
        <w:gridCol w:w="330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3.02</w:t>
            </w:r>
          </w:p>
        </w:tc>
        <w:tc>
          <w:tcPr>
            <w:tcW w:w="33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Unregistered Sales of Equity Securities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 1.01 of this Current Report on Form 8-K is incorporated herein by reference. The offer and sale of the Notes and the common stock of the Company issuable upon conversion, if any, have not been registered under the Securities Act or the securities laws of any other jurisdiction, and may not be offered or sold in the United States absent registration or an applicable exemption from such registration requirements. The Notes were offered in a private placement in reliance on Section 4(a)(2) of the Securities Act. The issuance of common stock upon conversion, if any, is expected to be exempt from registration pursuant to Section 3(a)(9) of the Securities Act as involving an exchange by the Company exclusively with its security holders.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13, 2026, the Company issued a press release announcing the Transactions and the capped call transactions. A copy of the press release announcing the Transactions and the capped call transactions is attached hereto as Exhibit 99.1.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contained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 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certain forward-looking statements within the meaning of Section 27A of the Private Securities Litigation Reform Act of 1995, as amended. All statements contained in this Current Report on Form 8-K that do not relate to matters of historical fact should be considered forward-looking, including statements regarding proceeds from the Transactions, use of proceeds from the Transactions, anticipated closing of the Transactions and effects of entering into the capped call transactions described above.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Current Report on Form 8-K include but are not limited to: our ability to consummate the Transactions; risks related to our indebtedness; the current and future health and stability of the economy, financial conditions and residential housing market, including any extended downturns or slowdowns; 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may impact demand for our products and services, lower our profitability or reduce our access to future financings; actual or anticipated fluctuations in our financial condition and results of operations; changes in projected operational and financial results; and our real estate assets and increased competition in the U.S. residential real estate industry; our ability to operate and grow our core business products, including the ability to obtain sufficient financing and resell purchased homes. The foregoing list of factors is not exhaustive. You should carefully consider the foregoing factors and the other risks and uncertainties described under the caption “Risk Factors” in our most recent Annual Report on Form 10-K filed with the Securities and Exchange Commission (the “SEC”) on February 19, 2026, as updated by the Company’s Quarterly Reports on Form 10-Q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 Exhibits.</w:t>
      </w:r>
    </w:p>
    <w:p>
      <w:pPr>
        <w:pStyle w:val="TextBody"/>
        <w:bidi w:val="0"/>
        <w:spacing w:before="0" w:after="0"/>
        <w:jc w:val="left"/>
        <w:rPr>
          <w:rFonts w:ascii="Times New Roman" w:hAnsi="Times New Roman"/>
          <w:sz w:val="20"/>
        </w:rPr>
      </w:pPr>
      <w:r>
        <w:rPr>
          <w:rFonts w:ascii="Times New Roman" w:hAnsi="Times New Roman"/>
          <w:sz w:val="20"/>
        </w:rPr>
      </w:r>
    </w:p>
    <w:tbl>
      <w:tblPr>
        <w:tblW w:w="9760" w:type="dxa"/>
        <w:jc w:val="left"/>
        <w:tblInd w:w="0" w:type="dxa"/>
        <w:tblLayout w:type="fixed"/>
        <w:tblCellMar>
          <w:top w:w="0" w:type="dxa"/>
          <w:left w:w="0" w:type="dxa"/>
          <w:bottom w:w="28" w:type="dxa"/>
          <w:right w:w="0" w:type="dxa"/>
        </w:tblCellMar>
      </w:tblPr>
      <w:tblGrid>
        <w:gridCol w:w="980"/>
        <w:gridCol w:w="60"/>
        <w:gridCol w:w="8720"/>
      </w:tblGrid>
      <w:tr>
        <w:trPr/>
        <w:tc>
          <w:tcPr>
            <w:tcW w:w="98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72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Description</w:t>
            </w:r>
          </w:p>
        </w:tc>
      </w:tr>
      <w:tr>
        <w:trPr/>
        <w:tc>
          <w:tcPr>
            <w:tcW w:w="980" w:type="dxa"/>
            <w:tcBorders/>
            <w:tcMar>
              <w:bottom w:w="0" w:type="dxa"/>
            </w:tcMar>
            <w:vAlign w:val="center"/>
          </w:tcPr>
          <w:p>
            <w:pPr>
              <w:pStyle w:val="TableContents"/>
              <w:bidi w:val="0"/>
              <w:spacing w:before="0" w:after="0"/>
              <w:jc w:val="left"/>
              <w:rPr/>
            </w:pPr>
            <w:hyperlink w:anchor="ef20080105_ex10-1.htm">
              <w:r>
                <w:rPr>
                  <w:rStyle w:val="InternetLink"/>
                  <w:rFonts w:ascii="Times New Roman" w:hAnsi="Times New Roman"/>
                  <w:color w:val="000000"/>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872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Form of Subscription Agreement.</w:t>
            </w:r>
          </w:p>
        </w:tc>
      </w:tr>
      <w:tr>
        <w:trPr/>
        <w:tc>
          <w:tcPr>
            <w:tcW w:w="980" w:type="dxa"/>
            <w:tcBorders/>
            <w:tcMar>
              <w:bottom w:w="0" w:type="dxa"/>
            </w:tcMar>
            <w:vAlign w:val="center"/>
          </w:tcPr>
          <w:p>
            <w:pPr>
              <w:pStyle w:val="TableContents"/>
              <w:bidi w:val="0"/>
              <w:spacing w:before="0" w:after="0"/>
              <w:jc w:val="left"/>
              <w:rPr/>
            </w:pPr>
            <w:hyperlink w:anchor="ef20080105_ex10-2.htm">
              <w:r>
                <w:rPr>
                  <w:rStyle w:val="InternetLink"/>
                  <w:rFonts w:ascii="Times New Roman" w:hAnsi="Times New Roman"/>
                  <w:color w:val="000000"/>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872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Form of Capped Call Confirmation.</w:t>
            </w:r>
          </w:p>
        </w:tc>
      </w:tr>
      <w:tr>
        <w:trPr/>
        <w:tc>
          <w:tcPr>
            <w:tcW w:w="980" w:type="dxa"/>
            <w:tcBorders/>
            <w:tcMar>
              <w:bottom w:w="0" w:type="dxa"/>
            </w:tcMar>
            <w:vAlign w:val="center"/>
          </w:tcPr>
          <w:p>
            <w:pPr>
              <w:pStyle w:val="TableContents"/>
              <w:bidi w:val="0"/>
              <w:spacing w:before="0" w:after="0"/>
              <w:jc w:val="left"/>
              <w:rPr/>
            </w:pPr>
            <w:hyperlink w:anchor="ef20080105_ex99-1.htm">
              <w:r>
                <w:rPr>
                  <w:rStyle w:val="InternetLink"/>
                  <w:rFonts w:ascii="Times New Roman" w:hAnsi="Times New Roman"/>
                  <w:color w:val="000000"/>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72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August 13, 2026.</w:t>
            </w:r>
          </w:p>
        </w:tc>
      </w:tr>
      <w:tr>
        <w:trPr/>
        <w:tc>
          <w:tcPr>
            <w:tcW w:w="9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872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Cover Page Interactive Data File (Cover page XBRL tags are embedded within the Inline XBRL document)</w:t>
            </w:r>
            <w:r>
              <w:rPr>
                <w:rFonts w:ascii="Times New Roman" w:hAnsi="Times New Roman"/>
                <w:sz w:val="20"/>
              </w:rPr>
              <w:t>.</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4275" w:type="dxa"/>
        <w:jc w:val="left"/>
        <w:tblInd w:w="0" w:type="dxa"/>
        <w:tblLayout w:type="fixed"/>
        <w:tblCellMar>
          <w:top w:w="0" w:type="dxa"/>
          <w:left w:w="0" w:type="dxa"/>
          <w:bottom w:w="0" w:type="dxa"/>
          <w:right w:w="0" w:type="dxa"/>
        </w:tblCellMar>
      </w:tblPr>
      <w:tblGrid>
        <w:gridCol w:w="1850"/>
        <w:gridCol w:w="545"/>
        <w:gridCol w:w="1880"/>
      </w:tblGrid>
      <w:tr>
        <w:trPr/>
        <w:tc>
          <w:tcPr>
            <w:tcW w:w="1850" w:type="dxa"/>
            <w:tcBorders/>
            <w:vAlign w:val="center"/>
          </w:tcPr>
          <w:p>
            <w:pPr>
              <w:pStyle w:val="TableContents"/>
              <w:bidi w:val="0"/>
              <w:spacing w:before="0" w:after="283"/>
              <w:jc w:val="left"/>
              <w:rPr/>
            </w:pPr>
            <w:r>
              <w:rPr/>
              <w:t> </w:t>
            </w:r>
          </w:p>
        </w:tc>
        <w:tc>
          <w:tcPr>
            <w:tcW w:w="242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Opendoor Technologies Inc.</w:t>
            </w:r>
          </w:p>
        </w:tc>
      </w:tr>
      <w:tr>
        <w:trPr/>
        <w:tc>
          <w:tcPr>
            <w:tcW w:w="1850" w:type="dxa"/>
            <w:tcBorders/>
            <w:vAlign w:val="center"/>
          </w:tcPr>
          <w:p>
            <w:pPr>
              <w:pStyle w:val="TableContents"/>
              <w:bidi w:val="0"/>
              <w:spacing w:before="0" w:after="283"/>
              <w:jc w:val="left"/>
              <w:rPr/>
            </w:pPr>
            <w:r>
              <w:rPr/>
              <w:t> </w:t>
            </w:r>
          </w:p>
        </w:tc>
        <w:tc>
          <w:tcPr>
            <w:tcW w:w="2425"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13, 2026</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8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Christy Schwartz</w:t>
            </w:r>
          </w:p>
        </w:tc>
      </w:tr>
      <w:tr>
        <w:trPr/>
        <w:tc>
          <w:tcPr>
            <w:tcW w:w="18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Christy Schwartz</w:t>
            </w:r>
          </w:p>
        </w:tc>
      </w:tr>
      <w:tr>
        <w:trPr/>
        <w:tc>
          <w:tcPr>
            <w:tcW w:w="18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0" w:name="ef20080105_ex10-1.htm"/>
      <w:bookmarkStart w:id="1" w:name="ksef20080105_ex101"/>
      <w:bookmarkStart w:id="2" w:name="ef20080105_ex10-1.htm"/>
      <w:bookmarkStart w:id="3" w:name="ksef20080105_ex101"/>
      <w:bookmarkEnd w:id="2"/>
      <w:bookmarkEnd w:id="3"/>
      <w:r>
        <w:br w:type="page"/>
      </w:r>
    </w:p>
    <w:p>
      <w:pPr>
        <w:pStyle w:val="TextBody"/>
        <w:bidi w:val="0"/>
        <w:spacing w:before="0" w:after="0"/>
        <w:ind w:left="540" w:right="0" w:hanging="540"/>
        <w:jc w:val="right"/>
        <w:rPr>
          <w:rFonts w:ascii="Times New Roman" w:hAnsi="Times New Roman"/>
          <w:b/>
          <w:color w:val="000000"/>
          <w:sz w:val="20"/>
        </w:rPr>
      </w:pPr>
      <w:bookmarkStart w:id="4" w:name="z_Hlk127540151"/>
      <w:bookmarkEnd w:id="4"/>
      <w:r>
        <w:rPr>
          <w:rFonts w:ascii="Times New Roman" w:hAnsi="Times New Roman"/>
          <w:b/>
          <w:color w:val="000000"/>
          <w:sz w:val="20"/>
        </w:rPr>
        <w:t>Exhibit 10.1</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August 12,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Opendoor Technologies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1295 West Washington Street, Suite 115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Tempe, AZ 85288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Chief Financial Officer</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 w:name="z9247623fea364955a9faace0590b6685"/>
      <w:bookmarkStart w:id="6" w:name="z9247623fea364955a9faace0590b6685"/>
      <w:bookmarkEnd w:id="6"/>
    </w:p>
    <w:tbl>
      <w:tblPr>
        <w:tblW w:w="5290" w:type="dxa"/>
        <w:jc w:val="left"/>
        <w:tblInd w:w="0" w:type="dxa"/>
        <w:tblLayout w:type="fixed"/>
        <w:tblCellMar>
          <w:top w:w="0" w:type="dxa"/>
          <w:left w:w="0" w:type="dxa"/>
          <w:bottom w:w="0" w:type="dxa"/>
          <w:right w:w="0" w:type="dxa"/>
        </w:tblCellMar>
      </w:tblPr>
      <w:tblGrid>
        <w:gridCol w:w="320"/>
        <w:gridCol w:w="4970"/>
      </w:tblGrid>
      <w:tr>
        <w:trPr/>
        <w:tc>
          <w:tcPr>
            <w:tcW w:w="32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Re:</w:t>
            </w:r>
          </w:p>
        </w:tc>
        <w:tc>
          <w:tcPr>
            <w:tcW w:w="497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Subscription for 0.00% Convertible Senior Notes due 2030</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bookmarkStart w:id="7" w:name="z_Hlk191386579"/>
      <w:bookmarkEnd w:id="7"/>
      <w:r>
        <w:rPr>
          <w:rFonts w:ascii="Times New Roman" w:hAnsi="Times New Roman"/>
          <w:color w:val="000000"/>
          <w:sz w:val="20"/>
        </w:rPr>
        <w:t>Opendoor Technologies Inc., a Delaware corporation (the “</w:t>
      </w:r>
      <w:r>
        <w:rPr>
          <w:rFonts w:ascii="Times New Roman" w:hAnsi="Times New Roman"/>
          <w:b/>
          <w:color w:val="000000"/>
          <w:sz w:val="20"/>
        </w:rPr>
        <w:t>Company</w:t>
      </w:r>
      <w:r>
        <w:rPr>
          <w:rFonts w:ascii="Times New Roman" w:hAnsi="Times New Roman"/>
          <w:color w:val="000000"/>
          <w:sz w:val="20"/>
        </w:rPr>
        <w:t>”), is offering a new series of its 0.00% Convertible Senior Notes due 2030 (the “</w:t>
      </w:r>
      <w:r>
        <w:rPr>
          <w:rFonts w:ascii="Times New Roman" w:hAnsi="Times New Roman"/>
          <w:b/>
          <w:color w:val="000000"/>
          <w:sz w:val="20"/>
        </w:rPr>
        <w:t>Notes</w:t>
      </w:r>
      <w:r>
        <w:rPr>
          <w:rFonts w:ascii="Times New Roman" w:hAnsi="Times New Roman"/>
          <w:color w:val="000000"/>
          <w:sz w:val="20"/>
        </w:rPr>
        <w:t>”). The Notes will be convertible into cash, shares (“</w:t>
      </w:r>
      <w:r>
        <w:rPr>
          <w:rFonts w:ascii="Times New Roman" w:hAnsi="Times New Roman"/>
          <w:b/>
          <w:color w:val="000000"/>
          <w:sz w:val="20"/>
        </w:rPr>
        <w:t>Underlying Shares</w:t>
      </w:r>
      <w:r>
        <w:rPr>
          <w:rFonts w:ascii="Times New Roman" w:hAnsi="Times New Roman"/>
          <w:color w:val="000000"/>
          <w:sz w:val="20"/>
        </w:rPr>
        <w:t>”) of common stock of the Company, par value $0.0001 per share (“</w:t>
      </w:r>
      <w:r>
        <w:rPr>
          <w:rFonts w:ascii="Times New Roman" w:hAnsi="Times New Roman"/>
          <w:b/>
          <w:color w:val="000000"/>
          <w:sz w:val="20"/>
        </w:rPr>
        <w:t>Stock</w:t>
      </w:r>
      <w:r>
        <w:rPr>
          <w:rFonts w:ascii="Times New Roman" w:hAnsi="Times New Roman"/>
          <w:color w:val="000000"/>
          <w:sz w:val="20"/>
        </w:rPr>
        <w:t>”), or a combination of cash and Underlying Shares, at the Company’s election, in accordance with the terms of the Indenture (as defined below).</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(the “</w:t>
      </w:r>
      <w:r>
        <w:rPr>
          <w:rFonts w:ascii="Times New Roman" w:hAnsi="Times New Roman"/>
          <w:b/>
          <w:color w:val="000000"/>
          <w:sz w:val="20"/>
        </w:rPr>
        <w:t>Investor</w:t>
      </w:r>
      <w:r>
        <w:rPr>
          <w:rFonts w:ascii="Times New Roman" w:hAnsi="Times New Roman"/>
          <w:color w:val="000000"/>
          <w:sz w:val="20"/>
        </w:rPr>
        <w:t xml:space="preserve">”), for itself and, on behalf of the accounts (if any) listed on </w:t>
      </w:r>
      <w:r>
        <w:rPr>
          <w:rFonts w:ascii="Times New Roman" w:hAnsi="Times New Roman"/>
          <w:color w:val="000000"/>
          <w:sz w:val="20"/>
          <w:u w:val="single"/>
        </w:rPr>
        <w:t>Exhibit A</w:t>
      </w:r>
      <w:r>
        <w:rPr>
          <w:rFonts w:ascii="Times New Roman" w:hAnsi="Times New Roman"/>
          <w:color w:val="000000"/>
          <w:sz w:val="20"/>
        </w:rPr>
        <w:t xml:space="preserve"> hereto for whom the Investor has been duly authorized to enter into the Subscription (as defined below) (each, including the Investor if it is listed on </w:t>
      </w:r>
      <w:r>
        <w:rPr>
          <w:rFonts w:ascii="Times New Roman" w:hAnsi="Times New Roman"/>
          <w:color w:val="000000"/>
          <w:sz w:val="20"/>
          <w:u w:val="single"/>
        </w:rPr>
        <w:t>Exhibit A</w:t>
      </w:r>
      <w:r>
        <w:rPr>
          <w:rFonts w:ascii="Times New Roman" w:hAnsi="Times New Roman"/>
          <w:color w:val="000000"/>
          <w:sz w:val="20"/>
        </w:rPr>
        <w:t>, a “</w:t>
      </w:r>
      <w:r>
        <w:rPr>
          <w:rFonts w:ascii="Times New Roman" w:hAnsi="Times New Roman"/>
          <w:b/>
          <w:color w:val="000000"/>
          <w:sz w:val="20"/>
        </w:rPr>
        <w:t>Subscriber</w:t>
      </w:r>
      <w:r>
        <w:rPr>
          <w:rFonts w:ascii="Times New Roman" w:hAnsi="Times New Roman"/>
          <w:color w:val="000000"/>
          <w:sz w:val="20"/>
        </w:rPr>
        <w:t>”), may subscribe for and purchase from the Company Notes for cash (the “</w:t>
      </w:r>
      <w:r>
        <w:rPr>
          <w:rFonts w:ascii="Times New Roman" w:hAnsi="Times New Roman"/>
          <w:b/>
          <w:color w:val="000000"/>
          <w:sz w:val="20"/>
        </w:rPr>
        <w:t>Subscription</w:t>
      </w:r>
      <w:r>
        <w:rPr>
          <w:rFonts w:ascii="Times New Roman" w:hAnsi="Times New Roman"/>
          <w:color w:val="000000"/>
          <w:sz w:val="20"/>
        </w:rPr>
        <w:t>”), pursuant and subject to the terms and conditions set forth in this agreement (the “</w:t>
      </w:r>
      <w:bookmarkStart w:id="8" w:name="z_Hlk54988045"/>
      <w:bookmarkEnd w:id="8"/>
      <w:r>
        <w:rPr>
          <w:rFonts w:ascii="Times New Roman" w:hAnsi="Times New Roman"/>
          <w:b/>
          <w:color w:val="000000"/>
          <w:sz w:val="20"/>
        </w:rPr>
        <w:t>Subscription Agreement</w:t>
      </w:r>
      <w:r>
        <w:rPr>
          <w:rFonts w:ascii="Times New Roman" w:hAnsi="Times New Roman"/>
          <w:color w:val="000000"/>
          <w:sz w:val="20"/>
        </w:rPr>
        <w:t>” or this “</w:t>
      </w:r>
      <w:r>
        <w:rPr>
          <w:rFonts w:ascii="Times New Roman" w:hAnsi="Times New Roman"/>
          <w:b/>
          <w:color w:val="000000"/>
          <w:sz w:val="20"/>
        </w:rPr>
        <w:t>Agreement</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Subscribers (including the Investor, as applicable) are referred to collectively as the “</w:t>
      </w:r>
      <w:r>
        <w:rPr>
          <w:rFonts w:ascii="Times New Roman" w:hAnsi="Times New Roman"/>
          <w:b/>
          <w:color w:val="000000"/>
          <w:sz w:val="20"/>
        </w:rPr>
        <w:t>Purchasers,</w:t>
      </w:r>
      <w:r>
        <w:rPr>
          <w:rFonts w:ascii="Times New Roman" w:hAnsi="Times New Roman"/>
          <w:color w:val="000000"/>
          <w:sz w:val="20"/>
        </w:rPr>
        <w:t>” and each Purchaser (other than the Investor) is referred to herein as an “</w:t>
      </w:r>
      <w:r>
        <w:rPr>
          <w:rFonts w:ascii="Times New Roman" w:hAnsi="Times New Roman"/>
          <w:b/>
          <w:color w:val="000000"/>
          <w:sz w:val="20"/>
        </w:rPr>
        <w:t>Account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Investor hereby confirms that this Agreement relates to participation by the Purchasers, taken together, in the Subscription.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Investor and each Account understands that the Subscription is being made without registration under the Securities Act of 1933, as amended (the “</w:t>
      </w:r>
      <w:r>
        <w:rPr>
          <w:rFonts w:ascii="Times New Roman" w:hAnsi="Times New Roman"/>
          <w:b/>
          <w:color w:val="000000"/>
          <w:sz w:val="20"/>
        </w:rPr>
        <w:t>Securities Act</w:t>
      </w:r>
      <w:r>
        <w:rPr>
          <w:rFonts w:ascii="Times New Roman" w:hAnsi="Times New Roman"/>
          <w:color w:val="000000"/>
          <w:sz w:val="20"/>
        </w:rPr>
        <w:t>”), or any securities laws of any state of the United States or of any other jurisdiction, and that the Subscription is only being made to investors who are institutional “accredited investors” within the meaning of Rule 501 of Regulation D under the Securities Act that are also “qualified institutional buyers” (within the meaning of Rule 144A under the Securities Act) in reliance upon an exemption from registration under Section 4(a)(2) of the Securities Act. The Subscription is described in, and is being made pursuant to, the draft Indenture relating to the Notes (the “</w:t>
      </w:r>
      <w:r>
        <w:rPr>
          <w:rFonts w:ascii="Times New Roman" w:hAnsi="Times New Roman"/>
          <w:b/>
          <w:color w:val="000000"/>
          <w:sz w:val="20"/>
        </w:rPr>
        <w:t>Indenture</w:t>
      </w:r>
      <w:r>
        <w:rPr>
          <w:rFonts w:ascii="Times New Roman" w:hAnsi="Times New Roman"/>
          <w:color w:val="000000"/>
          <w:sz w:val="20"/>
        </w:rPr>
        <w:t>”) to be entered into as of the Closing Date (as defined below) between the Company and U.S. Bank Trust Company, National Association, as Trustee (the “</w:t>
      </w:r>
      <w:r>
        <w:rPr>
          <w:rFonts w:ascii="Times New Roman" w:hAnsi="Times New Roman"/>
          <w:b/>
          <w:color w:val="000000"/>
          <w:sz w:val="20"/>
        </w:rPr>
        <w:t>Notes</w:t>
      </w:r>
      <w:r>
        <w:rPr>
          <w:rFonts w:ascii="Times New Roman" w:hAnsi="Times New Roman"/>
          <w:color w:val="000000"/>
          <w:sz w:val="20"/>
        </w:rPr>
        <w:t> </w:t>
      </w:r>
      <w:r>
        <w:rPr>
          <w:rFonts w:ascii="Times New Roman" w:hAnsi="Times New Roman"/>
          <w:b/>
          <w:color w:val="000000"/>
          <w:sz w:val="20"/>
        </w:rPr>
        <w:t>Trustee</w:t>
      </w:r>
      <w:r>
        <w:rPr>
          <w:rFonts w:ascii="Times New Roman" w:hAnsi="Times New Roman"/>
          <w:color w:val="000000"/>
          <w:sz w:val="20"/>
        </w:rPr>
        <w:t>”), as supplemented by the Pricing Term Sheet, dated as of the date hereof (the “</w:t>
      </w:r>
      <w:r>
        <w:rPr>
          <w:rFonts w:ascii="Times New Roman" w:hAnsi="Times New Roman"/>
          <w:b/>
          <w:color w:val="000000"/>
          <w:sz w:val="20"/>
        </w:rPr>
        <w:t>Pricing Term Sheet</w:t>
      </w:r>
      <w:r>
        <w:rPr>
          <w:rFonts w:ascii="Times New Roman" w:hAnsi="Times New Roman"/>
          <w:color w:val="000000"/>
          <w:sz w:val="20"/>
        </w:rPr>
        <w:t>” and, together with the Indenture, the “</w:t>
      </w:r>
      <w:r>
        <w:rPr>
          <w:rFonts w:ascii="Times New Roman" w:hAnsi="Times New Roman"/>
          <w:b/>
          <w:color w:val="000000"/>
          <w:sz w:val="20"/>
        </w:rPr>
        <w:t>Transaction Documents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issuance of the Notes, the Company expects the Placement Agent (as defined below) to purchase shares of Stock from certain institutional investors.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 w:name="ze5c557cf6e494d419fae906ef2b07ed0"/>
      <w:bookmarkStart w:id="10" w:name="ze5c557cf6e494d419fae906ef2b07ed0"/>
      <w:bookmarkEnd w:id="10"/>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20"/>
              </w:rPr>
            </w:pPr>
            <w:r>
              <w:rPr>
                <w:sz w:val="20"/>
              </w:rPr>
            </w:r>
          </w:p>
        </w:tc>
        <w:tc>
          <w:tcPr>
            <w:tcW w:w="13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The Subscription</w:t>
            </w:r>
            <w:r>
              <w:rPr>
                <w:rFonts w:ascii="Times New Roman" w:hAnsi="Times New Roman"/>
                <w:sz w:val="20"/>
              </w:rPr>
              <w:t>. Subject to the terms and conditions of this Subscription Agreement, the Investor hereby agrees to purchase from the Company, and the Company hereby agrees to issue and sell to the Investor and/or any such Account, Notes (the “</w:t>
            </w:r>
            <w:r>
              <w:rPr>
                <w:rFonts w:ascii="Times New Roman" w:hAnsi="Times New Roman"/>
                <w:b/>
                <w:sz w:val="20"/>
              </w:rPr>
              <w:t>Purchased Notes</w:t>
            </w:r>
            <w:r>
              <w:rPr>
                <w:rFonts w:ascii="Times New Roman" w:hAnsi="Times New Roman"/>
                <w:sz w:val="20"/>
              </w:rPr>
              <w:t xml:space="preserve">”) having an aggregate principal amount as set forth in column 2 of </w:t>
            </w:r>
            <w:r>
              <w:rPr>
                <w:rFonts w:ascii="Times New Roman" w:hAnsi="Times New Roman"/>
                <w:sz w:val="20"/>
                <w:u w:val="single"/>
              </w:rPr>
              <w:t>Exhibit A</w:t>
            </w:r>
            <w:r>
              <w:rPr>
                <w:rFonts w:ascii="Times New Roman" w:hAnsi="Times New Roman"/>
                <w:sz w:val="20"/>
              </w:rPr>
              <w:t xml:space="preserve"> hereto, for an aggregate purchase price in cash in respect of such Purchased Notes as set forth in column 3 of </w:t>
            </w:r>
            <w:r>
              <w:rPr>
                <w:rFonts w:ascii="Times New Roman" w:hAnsi="Times New Roman"/>
                <w:sz w:val="20"/>
                <w:u w:val="single"/>
              </w:rPr>
              <w:t>Exhibit A</w:t>
            </w:r>
            <w:r>
              <w:rPr>
                <w:rFonts w:ascii="Times New Roman" w:hAnsi="Times New Roman"/>
                <w:sz w:val="20"/>
              </w:rPr>
              <w:t xml:space="preserve"> (such aggregate cash purchase price, the “</w:t>
            </w:r>
            <w:r>
              <w:rPr>
                <w:rFonts w:ascii="Times New Roman" w:hAnsi="Times New Roman"/>
                <w:b/>
                <w:sz w:val="20"/>
              </w:rPr>
              <w:t>Cash Purchase Price</w:t>
            </w:r>
            <w:r>
              <w:rPr>
                <w:rFonts w:ascii="Times New Roman" w:hAnsi="Times New Roman"/>
                <w:sz w:val="20"/>
              </w:rPr>
              <w:t>”). For the avoidance of doubt, such Cash Purchase Price shall not be adjusted for accrued interest, if any, if the Closing (as defined below) occurs after August 19, 2026.</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 w:name="z8f8c9818443b4cd5ae23aff24056e85e"/>
      <w:bookmarkStart w:id="12" w:name="z8f8c9818443b4cd5ae23aff24056e85e"/>
      <w:bookmarkEnd w:id="12"/>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20"/>
              </w:rPr>
            </w:pPr>
            <w:r>
              <w:rPr>
                <w:sz w:val="20"/>
              </w:rPr>
            </w:r>
          </w:p>
        </w:tc>
        <w:tc>
          <w:tcPr>
            <w:tcW w:w="1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The Closing</w:t>
            </w:r>
            <w:r>
              <w:rPr>
                <w:rFonts w:ascii="Times New Roman" w:hAnsi="Times New Roman"/>
                <w:sz w:val="20"/>
              </w:rPr>
              <w:t>. The closing of the Subscription (the “</w:t>
            </w:r>
            <w:r>
              <w:rPr>
                <w:rFonts w:ascii="Times New Roman" w:hAnsi="Times New Roman"/>
                <w:b/>
                <w:sz w:val="20"/>
              </w:rPr>
              <w:t>Closing</w:t>
            </w:r>
            <w:r>
              <w:rPr>
                <w:rFonts w:ascii="Times New Roman" w:hAnsi="Times New Roman"/>
                <w:sz w:val="20"/>
              </w:rPr>
              <w:t>”) shall take place electronically at 10:00 AM, New York City time, on August 19, 2026, or at such other time and place as the Company may designate by notice to the Investor (the “</w:t>
            </w:r>
            <w:r>
              <w:rPr>
                <w:rFonts w:ascii="Times New Roman" w:hAnsi="Times New Roman"/>
                <w:b/>
                <w:sz w:val="20"/>
              </w:rPr>
              <w:t>Closing Date</w:t>
            </w:r>
            <w:r>
              <w:rPr>
                <w:rFonts w:ascii="Times New Roman" w:hAnsi="Times New Roman"/>
                <w:sz w:val="20"/>
              </w:rPr>
              <w:t>”); provided that the Closing Date cannot be later than August 26, 2026 without the prior written consent of the Investor.</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3" w:name="z56af96dff957466093a6447a3f5d9fad"/>
      <w:bookmarkStart w:id="14" w:name="z56af96dff957466093a6447a3f5d9fad"/>
      <w:bookmarkEnd w:id="14"/>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Closing Mechanics</w:t>
            </w: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 w:name="z993f8fea7e364926b0f5daea50402b84"/>
      <w:bookmarkStart w:id="16" w:name="z993f8fea7e364926b0f5daea50402b84"/>
      <w:bookmarkEnd w:id="16"/>
    </w:p>
    <w:tbl>
      <w:tblPr>
        <w:tblW w:w="7233" w:type="dxa"/>
        <w:jc w:val="left"/>
        <w:tblInd w:w="0" w:type="dxa"/>
        <w:tblLayout w:type="fixed"/>
        <w:tblCellMar>
          <w:top w:w="0" w:type="dxa"/>
          <w:left w:w="0" w:type="dxa"/>
          <w:bottom w:w="0" w:type="dxa"/>
          <w:right w:w="0" w:type="dxa"/>
        </w:tblCellMar>
      </w:tblPr>
      <w:tblGrid>
        <w:gridCol w:w="38"/>
        <w:gridCol w:w="155"/>
        <w:gridCol w:w="7040"/>
      </w:tblGrid>
      <w:tr>
        <w:trPr/>
        <w:tc>
          <w:tcPr>
            <w:tcW w:w="38" w:type="dxa"/>
            <w:tcBorders/>
            <w:vAlign w:val="center"/>
          </w:tcPr>
          <w:p>
            <w:pPr>
              <w:pStyle w:val="TableContents"/>
              <w:bidi w:val="0"/>
              <w:spacing w:before="0" w:after="283"/>
              <w:jc w:val="left"/>
              <w:rPr>
                <w:sz w:val="20"/>
              </w:rPr>
            </w:pPr>
            <w:r>
              <w:rPr>
                <w:sz w:val="20"/>
              </w:rPr>
            </w:r>
          </w:p>
        </w:tc>
        <w:tc>
          <w:tcPr>
            <w:tcW w:w="155" w:type="dxa"/>
            <w:tcBorders/>
            <w:vAlign w:val="center"/>
          </w:tcPr>
          <w:p>
            <w:pPr>
              <w:pStyle w:val="TableContents"/>
              <w:bidi w:val="0"/>
              <w:spacing w:before="0" w:after="283"/>
              <w:jc w:val="left"/>
              <w:rPr>
                <w:rFonts w:ascii="Times New Roman" w:hAnsi="Times New Roman"/>
                <w:sz w:val="20"/>
              </w:rPr>
            </w:pPr>
            <w:bookmarkStart w:id="17" w:name="z_Ref515005150"/>
            <w:bookmarkEnd w:id="17"/>
            <w:r>
              <w:rPr>
                <w:rFonts w:ascii="Times New Roman" w:hAnsi="Times New Roman"/>
                <w:sz w:val="20"/>
              </w:rPr>
              <w:t>a.</w:t>
            </w:r>
          </w:p>
        </w:tc>
        <w:tc>
          <w:tcPr>
            <w:tcW w:w="7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Depository Trust Company (“</w:t>
            </w:r>
            <w:r>
              <w:rPr>
                <w:rFonts w:ascii="Times New Roman" w:hAnsi="Times New Roman"/>
                <w:b/>
                <w:sz w:val="20"/>
              </w:rPr>
              <w:t>DTC</w:t>
            </w:r>
            <w:r>
              <w:rPr>
                <w:rFonts w:ascii="Times New Roman" w:hAnsi="Times New Roman"/>
                <w:sz w:val="20"/>
              </w:rPr>
              <w:t>”) will act as securities depositary for the Notes.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8" w:name="ze051e611fbea418abadac5ee271abd38"/>
      <w:bookmarkStart w:id="19" w:name="ze051e611fbea418abadac5ee271abd38"/>
      <w:bookmarkEnd w:id="1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rPr>
              <w:t xml:space="preserve">At or prior to the times set forth in the Subscription Procedures set forth in </w:t>
            </w:r>
            <w:r>
              <w:rPr>
                <w:rFonts w:ascii="Times New Roman" w:hAnsi="Times New Roman"/>
                <w:sz w:val="20"/>
                <w:u w:val="single"/>
              </w:rPr>
              <w:t>Exhibit B</w:t>
            </w:r>
            <w:r>
              <w:rPr>
                <w:rFonts w:ascii="Times New Roman" w:hAnsi="Times New Roman"/>
                <w:sz w:val="20"/>
              </w:rPr>
              <w:t xml:space="preserve"> hereto (the “</w:t>
            </w:r>
            <w:r>
              <w:rPr>
                <w:rFonts w:ascii="Times New Roman" w:hAnsi="Times New Roman"/>
                <w:b/>
                <w:sz w:val="20"/>
              </w:rPr>
              <w:t>Subscription Procedures</w:t>
            </w:r>
            <w:r>
              <w:rPr>
                <w:rFonts w:ascii="Times New Roman" w:hAnsi="Times New Roman"/>
                <w:sz w:val="24"/>
              </w:rPr>
              <w:t>”</w:t>
            </w:r>
            <w:r>
              <w:rPr>
                <w:rFonts w:ascii="Times New Roman" w:hAnsi="Times New Roman"/>
                <w:sz w:val="20"/>
              </w:rPr>
              <w:t>), the Investor, on behalf of itself and/or any other Account, shall</w:t>
            </w:r>
            <w:bookmarkStart w:id="20" w:name="z_Ref515005182"/>
            <w:bookmarkEnd w:id="20"/>
            <w:r>
              <w:rPr>
                <w:rFonts w:ascii="Times New Roman" w:hAnsi="Times New Roman"/>
                <w:sz w:val="24"/>
              </w:rPr>
              <w:t> </w:t>
            </w:r>
            <w:r>
              <w:rPr>
                <w:rFonts w:ascii="Times New Roman" w:hAnsi="Times New Roman"/>
                <w:sz w:val="20"/>
              </w:rPr>
              <w:t>transfer the Cash Purchase Price by wire in immediately available funds to the account of the Company designated in the Subscription Procedures.</w:t>
            </w:r>
            <w:bookmarkStart w:id="21" w:name="z_Hlk22400431"/>
            <w:bookmarkEnd w:id="21"/>
          </w:p>
        </w:tc>
      </w:tr>
    </w:tbl>
    <w:p>
      <w:pPr>
        <w:pStyle w:val="TextBody"/>
        <w:bidi w:val="0"/>
        <w:spacing w:before="0" w:after="0"/>
        <w:jc w:val="both"/>
        <w:rPr>
          <w:sz w:val="20"/>
        </w:rPr>
      </w:pPr>
      <w:r>
        <w:rPr>
          <w:sz w:val="20"/>
        </w:rPr>
      </w:r>
    </w:p>
    <w:p>
      <w:pPr>
        <w:pStyle w:val="Normal"/>
        <w:bidi w:val="0"/>
        <w:spacing w:before="0" w:after="0"/>
        <w:jc w:val="left"/>
        <w:rPr>
          <w:sz w:val="4"/>
          <w:szCs w:val="4"/>
        </w:rPr>
      </w:pPr>
      <w:r>
        <w:rPr>
          <w:sz w:val="4"/>
          <w:szCs w:val="4"/>
        </w:rPr>
      </w:r>
      <w:bookmarkStart w:id="22" w:name="z88cdb3e409354101900d14f36dfda117"/>
      <w:bookmarkStart w:id="23" w:name="z88cdb3e409354101900d14f36dfda117"/>
      <w:bookmarkEnd w:id="23"/>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20"/>
              </w:rPr>
            </w:pPr>
            <w:r>
              <w:rPr>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 the Closing Date, subject to satisfaction of the conditions precedent specified in </w:t>
            </w:r>
            <w:r>
              <w:rPr>
                <w:rFonts w:ascii="Times New Roman" w:hAnsi="Times New Roman"/>
                <w:sz w:val="20"/>
                <w:u w:val="single"/>
              </w:rPr>
              <w:t>Section 6</w:t>
            </w:r>
            <w:r>
              <w:rPr>
                <w:rFonts w:ascii="Times New Roman" w:hAnsi="Times New Roman"/>
                <w:sz w:val="20"/>
              </w:rPr>
              <w:t xml:space="preserve"> hereof, and the prior receipt by the Company of the Cash Purchase Price from the Investor on behalf of each Subscriber: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4" w:name="z6c6ed6ca56fb4d8cb0ef07a101180eb8"/>
      <w:bookmarkStart w:id="25" w:name="z6c6ed6ca56fb4d8cb0ef07a101180eb8"/>
      <w:bookmarkEnd w:id="25"/>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20"/>
              </w:rPr>
            </w:pPr>
            <w:r>
              <w:rPr>
                <w:sz w:val="20"/>
              </w:rPr>
            </w:r>
          </w:p>
        </w:tc>
        <w:tc>
          <w:tcPr>
            <w:tcW w:w="19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997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Company shall execute and deliver the Indenture, dated as of the Closing Date, between the Company and the Notes Trustee;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6" w:name="zb6ce3c61c1594dbdb6150809a0e1226c"/>
      <w:bookmarkStart w:id="27" w:name="zb6ce3c61c1594dbdb6150809a0e1226c"/>
      <w:bookmarkEnd w:id="27"/>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20"/>
              </w:rPr>
            </w:pPr>
            <w:r>
              <w:rPr>
                <w:sz w:val="20"/>
              </w:rPr>
            </w:r>
          </w:p>
        </w:tc>
        <w:tc>
          <w:tcPr>
            <w:tcW w:w="23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 shall execute, cause the Notes Trustee to authenticate and cause to be delivered to the DTC account(s) specified by the Investor or the relevant Account in </w:t>
            </w:r>
            <w:r>
              <w:rPr>
                <w:rFonts w:ascii="Times New Roman" w:hAnsi="Times New Roman"/>
                <w:sz w:val="20"/>
                <w:u w:val="single"/>
              </w:rPr>
              <w:t>Exhibit C</w:t>
            </w:r>
            <w:r>
              <w:rPr>
                <w:rFonts w:ascii="Times New Roman" w:hAnsi="Times New Roman"/>
                <w:sz w:val="20"/>
              </w:rPr>
              <w:t xml:space="preserve"> hereto, the Purchased Notes.</w:t>
            </w:r>
          </w:p>
        </w:tc>
      </w:tr>
    </w:tbl>
    <w:p>
      <w:pPr>
        <w:pStyle w:val="TextBody"/>
        <w:bidi w:val="0"/>
        <w:spacing w:before="0" w:after="0"/>
        <w:jc w:val="left"/>
        <w:rPr>
          <w:sz w:val="20"/>
        </w:rPr>
      </w:pPr>
      <w:r>
        <w:rPr>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All questions as to the form of all documents and the validity and acceptance of the Notes will be determined by the Company, in its sole discretion, which determination shall be final and binding.</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 w:name="z50335f8388a14446ae3d04b0d9a2fd0d"/>
      <w:bookmarkStart w:id="29" w:name="z50335f8388a14446ae3d04b0d9a2fd0d"/>
      <w:bookmarkEnd w:id="29"/>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20"/>
              </w:rPr>
            </w:pPr>
            <w:r>
              <w:rPr>
                <w:sz w:val="20"/>
              </w:rPr>
            </w:r>
          </w:p>
        </w:tc>
        <w:tc>
          <w:tcPr>
            <w:tcW w:w="163" w:type="dxa"/>
            <w:tcBorders/>
            <w:vAlign w:val="center"/>
          </w:tcPr>
          <w:p>
            <w:pPr>
              <w:pStyle w:val="TableContents"/>
              <w:bidi w:val="0"/>
              <w:spacing w:before="0" w:after="283"/>
              <w:jc w:val="left"/>
              <w:rPr>
                <w:rFonts w:ascii="Times New Roman" w:hAnsi="Times New Roman"/>
                <w:sz w:val="20"/>
              </w:rPr>
            </w:pPr>
            <w:bookmarkStart w:id="30" w:name="z_Ref515006294"/>
            <w:bookmarkStart w:id="31" w:name="z_Hlt22547033"/>
            <w:bookmarkEnd w:id="30"/>
            <w:bookmarkEnd w:id="31"/>
            <w:r>
              <w:rPr>
                <w:rFonts w:ascii="Times New Roman" w:hAnsi="Times New Roman"/>
                <w:sz w:val="20"/>
              </w:rPr>
              <w:t>4.</w:t>
            </w:r>
          </w:p>
        </w:tc>
        <w:tc>
          <w:tcPr>
            <w:tcW w:w="1000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Representations and Warranties of the Company</w:t>
            </w:r>
            <w:r>
              <w:rPr>
                <w:rFonts w:ascii="Times New Roman" w:hAnsi="Times New Roman"/>
                <w:sz w:val="20"/>
              </w:rPr>
              <w:t>. The Company represents and warrants to the Investor (and each Account, as applicable) that: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2" w:name="ze8afd8ab5e0645fe8c435c2b31c8eec2"/>
      <w:bookmarkStart w:id="33" w:name="ze8afd8ab5e0645fe8c435c2b31c8eec2"/>
      <w:bookmarkEnd w:id="33"/>
    </w:p>
    <w:tbl>
      <w:tblPr>
        <w:tblW w:w="9108" w:type="dxa"/>
        <w:jc w:val="left"/>
        <w:tblInd w:w="0" w:type="dxa"/>
        <w:tblLayout w:type="fixed"/>
        <w:tblCellMar>
          <w:top w:w="0" w:type="dxa"/>
          <w:left w:w="0" w:type="dxa"/>
          <w:bottom w:w="0" w:type="dxa"/>
          <w:right w:w="0" w:type="dxa"/>
        </w:tblCellMar>
      </w:tblPr>
      <w:tblGrid>
        <w:gridCol w:w="38"/>
        <w:gridCol w:w="155"/>
        <w:gridCol w:w="8915"/>
      </w:tblGrid>
      <w:tr>
        <w:trPr/>
        <w:tc>
          <w:tcPr>
            <w:tcW w:w="38" w:type="dxa"/>
            <w:tcBorders/>
            <w:vAlign w:val="center"/>
          </w:tcPr>
          <w:p>
            <w:pPr>
              <w:pStyle w:val="TableContents"/>
              <w:bidi w:val="0"/>
              <w:spacing w:before="0" w:after="283"/>
              <w:jc w:val="left"/>
              <w:rPr>
                <w:sz w:val="20"/>
              </w:rPr>
            </w:pPr>
            <w:r>
              <w:rPr>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8915"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Organization</w:t>
            </w:r>
            <w:r>
              <w:rPr>
                <w:rFonts w:ascii="Times New Roman" w:hAnsi="Times New Roman"/>
                <w:sz w:val="20"/>
              </w:rPr>
              <w:t>. The Company is duly organized and is validly existing under the laws of the State of Delaware.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4" w:name="za22ee3ab6e7b43c1960b56643bc0d30f"/>
      <w:bookmarkStart w:id="35" w:name="za22ee3ab6e7b43c1960b56643bc0d30f"/>
      <w:bookmarkEnd w:id="35"/>
    </w:p>
    <w:tbl>
      <w:tblPr>
        <w:tblW w:w="9723" w:type="dxa"/>
        <w:jc w:val="left"/>
        <w:tblInd w:w="0" w:type="dxa"/>
        <w:tblLayout w:type="fixed"/>
        <w:tblCellMar>
          <w:top w:w="0" w:type="dxa"/>
          <w:left w:w="0" w:type="dxa"/>
          <w:bottom w:w="0" w:type="dxa"/>
          <w:right w:w="0" w:type="dxa"/>
        </w:tblCellMar>
      </w:tblPr>
      <w:tblGrid>
        <w:gridCol w:w="38"/>
        <w:gridCol w:w="170"/>
        <w:gridCol w:w="9515"/>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515"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Due Authorization</w:t>
            </w:r>
            <w:r>
              <w:rPr>
                <w:rFonts w:ascii="Times New Roman" w:hAnsi="Times New Roman"/>
                <w:sz w:val="20"/>
              </w:rPr>
              <w:t>. This Subscription Agreement has been duly authorized, executed and delivered by the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6" w:name="z5f22b5daa2ca4bc384d7bce35591d2a9"/>
      <w:bookmarkStart w:id="37" w:name="z5f22b5daa2ca4bc384d7bce35591d2a9"/>
      <w:bookmarkEnd w:id="37"/>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20"/>
              </w:rPr>
            </w:pPr>
            <w:r>
              <w:rPr>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 xml:space="preserve">Notes. </w:t>
            </w:r>
            <w:r>
              <w:rPr>
                <w:rFonts w:ascii="Times New Roman" w:hAnsi="Times New Roman"/>
                <w:sz w:val="20"/>
              </w:rPr>
              <w:t>The Notes have been duly authorized by the Company and, when duly executed by the Company in accordance with the terms of the Indenture, assuming due authentication of the Notes by the Notes Trustee, upon delivery to the Investors in accordance with the terms of the Subscription, will be validly issued and delivered and will constitute valid and binding obligations of the Company entitled to the benefits of the Indenture, enforceable against the Company in accordance with their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 (collectively, the “</w:t>
            </w:r>
            <w:r>
              <w:rPr>
                <w:rFonts w:ascii="Times New Roman" w:hAnsi="Times New Roman"/>
                <w:b/>
                <w:sz w:val="20"/>
              </w:rPr>
              <w:t>Enforceability Exceptions</w:t>
            </w:r>
            <w:r>
              <w:rPr>
                <w:rFonts w:ascii="Times New Roman" w:hAnsi="Times New Roman"/>
                <w:sz w:val="20"/>
              </w:rPr>
              <w:t>”). The maximum number of Underlying Shares initially issuable upon conversion of the Notes (assuming settlement in shares of Stock to the maximum extent permitted by the Indenture and taking into account the maximum make-whole adjustment under the Indenture) have been duly and validly authorized and reserved for  by the Company and, when issued upon conversion of the Notes in accordance with the terms of the Notes and the Indenture, will be validly issued, fully paid and non-assessable, and the issuance of any Underlying Shares will not be subject to any preemptive, participation, rights of first refusal or similar rights. At or prior to the Closing, a notice for the listing of additional shares covering the Underlying Shares shall have been submitted to the Nasdaq Global Select Market.</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8" w:name="zaad0aefdce8443c188bb35b16193090b"/>
      <w:bookmarkStart w:id="39" w:name="zaad0aefdce8443c188bb35b16193090b"/>
      <w:bookmarkEnd w:id="3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Indenture.</w:t>
            </w:r>
            <w:r>
              <w:rPr>
                <w:rFonts w:ascii="Times New Roman" w:hAnsi="Times New Roman"/>
                <w:sz w:val="20"/>
              </w:rPr>
              <w:t xml:space="preserve"> The Company has all requisite corporate power and authority to perform its obligations under the Indenture. The Indenture has been duly authorized by the Company, and will have been duly executed and delivered by the Company on or prior to the Closing. Assuming due authorization, execution and delivery by the Notes Trustee thereto, the Indenture, upon execution and delivery thereof by the Company, will constitute the valid and binding agreement of the Company, enforceable against the Company in accordance with its terms, subject to the Enforceability Exceptions.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0" w:name="z7536040a69ec4d48876d38b31bf66b9e"/>
      <w:bookmarkStart w:id="41" w:name="z7536040a69ec4d48876d38b31bf66b9e"/>
      <w:bookmarkEnd w:id="41"/>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20"/>
              </w:rPr>
            </w:pPr>
            <w:r>
              <w:rPr>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 xml:space="preserve">Exemption from Registration. </w:t>
            </w:r>
            <w:r>
              <w:rPr>
                <w:rFonts w:ascii="Times New Roman" w:hAnsi="Times New Roman"/>
                <w:sz w:val="20"/>
              </w:rPr>
              <w:t>Assuming the accuracy of the representations and warranties of the Investor and each other investor executing a Subscription Agreement, (1) the issuance of the Purchased Notes in connection with the Subscription pursuant to this Subscription Agreement is exempt from the registration requirements of the Securities Act; and (2) the Indenture is not required to be qualified under the Trust Indenture Act of 1939, as amended.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2" w:name="z2326c3af5e384212a2acfad5adda60f8"/>
      <w:bookmarkStart w:id="43" w:name="z2326c3af5e384212a2acfad5adda60f8"/>
      <w:bookmarkEnd w:id="4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 xml:space="preserve">New Class. </w:t>
            </w:r>
            <w:r>
              <w:rPr>
                <w:rFonts w:ascii="Times New Roman" w:hAnsi="Times New Roman"/>
                <w:sz w:val="20"/>
              </w:rPr>
              <w:t>The Notes, when issued, will not be of the same class as securities listed on a national securities exchange registered under Section 6 of the Securities Exchange Act of 1934, as amended, or quoted in a U.S. automated inter-dealer quotation system, within the meaning of Rule 144A(d)(3)(i) under the Securities Act.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4" w:name="zb7b688dde46d48eba90f17191d8b8219"/>
      <w:bookmarkStart w:id="45" w:name="zb7b688dde46d48eba90f17191d8b8219"/>
      <w:bookmarkEnd w:id="4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No Conflicts</w:t>
            </w:r>
            <w:r>
              <w:rPr>
                <w:rFonts w:ascii="Times New Roman" w:hAnsi="Times New Roman"/>
                <w:sz w:val="20"/>
              </w:rPr>
              <w:t>. The issuance of the Notes pursuant to the Subscription Agreement, the execution, delivery and performance, as applicable, by the Company of its obligations under the Notes, the Indenture and the Subscription Agreement, and the consummation of the transactions contemplated hereby and thereby, will not (i) conflict with or result in a breach or violation of any of the terms or provisions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 of the Company or any of its subsidiaries or (iii) result in any violation of any statute or any judgment, order, decree, rule or regulation of any court or arbitrator or federal, state, local or foreign governmental agency or regulatory authority having jurisdiction over the properties or assets of the Company or any of its subsidiaries or any of their properties or assets, except, with respect to clauses (i) and (iii), conflicts, breaches, violations, impositions or defaults that would not reasonably be expected to have a material adverse effect on the condition (financial or otherwise), results of operations, stockholders’ equity, properties, business or prospects of the Company and its subsidiaries taken as a whole or a material adverse effect on the performance by the Company of its obligations under the Subscription Agreement, the Indenture or the Notes or the consummation of any of the transactions contemplated hereby or thereby.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6" w:name="za3633034376e4f88b6be8f04e49870b4"/>
      <w:bookmarkStart w:id="47" w:name="za3633034376e4f88b6be8f04e49870b4"/>
      <w:bookmarkEnd w:id="4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Solvency</w:t>
            </w:r>
            <w:r>
              <w:rPr>
                <w:rFonts w:ascii="Times New Roman" w:hAnsi="Times New Roman"/>
                <w:sz w:val="20"/>
              </w:rPr>
              <w:t>. On the date hereof and on the Closing Date, (A) the present fair market value (or present fair saleable value) of the total assets of Company is not less than the total amount required to pay the probable total liabilities (including contingent liabilities) of the Company as they mature and become absolute, (B) the Company has the ability to pay its debts and obligations as such debts mature, and (C) the Company is not “insolvent” (as such term is defined under Section 101(32) of the U.S. Bankruptcy Code (Title 11 of the United States Code)).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8" w:name="zcd5fede6e6394a6c87bbfcb4f10c998e"/>
      <w:bookmarkStart w:id="49" w:name="zcd5fede6e6394a6c87bbfcb4f10c998e"/>
      <w:bookmarkEnd w:id="49"/>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Mutual Negotiation</w:t>
            </w:r>
            <w:r>
              <w:rPr>
                <w:rFonts w:ascii="Times New Roman" w:hAnsi="Times New Roman"/>
                <w:sz w:val="20"/>
              </w:rPr>
              <w:t>. The Company acknowledges that the terms of the Subscription have been mutually negotiated between the parties.</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0" w:name="z0cf4bbb722ad40b79938cb3dd9002ccf"/>
      <w:bookmarkStart w:id="51" w:name="z0cf4bbb722ad40b79938cb3dd9002ccf"/>
      <w:bookmarkEnd w:id="51"/>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20"/>
              </w:rPr>
            </w:pPr>
            <w:r>
              <w:rPr>
                <w:sz w:val="20"/>
              </w:rPr>
            </w:r>
          </w:p>
        </w:tc>
        <w:tc>
          <w:tcPr>
            <w:tcW w:w="153" w:type="dxa"/>
            <w:tcBorders/>
            <w:vAlign w:val="center"/>
          </w:tcPr>
          <w:p>
            <w:pPr>
              <w:pStyle w:val="TableContents"/>
              <w:bidi w:val="0"/>
              <w:spacing w:before="0" w:after="283"/>
              <w:jc w:val="left"/>
              <w:rPr>
                <w:rFonts w:ascii="Times New Roman" w:hAnsi="Times New Roman"/>
                <w:sz w:val="20"/>
              </w:rPr>
            </w:pPr>
            <w:bookmarkStart w:id="52" w:name="z_Ref515006306"/>
            <w:bookmarkStart w:id="53" w:name="z_Hlt22547038"/>
            <w:bookmarkEnd w:id="52"/>
            <w:bookmarkEnd w:id="53"/>
            <w:r>
              <w:rPr>
                <w:rFonts w:ascii="Times New Roman" w:hAnsi="Times New Roman"/>
                <w:sz w:val="20"/>
              </w:rPr>
              <w:t>5.</w:t>
            </w:r>
          </w:p>
        </w:tc>
        <w:tc>
          <w:tcPr>
            <w:tcW w:w="1001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Representations and Warranties of the Investor</w:t>
            </w:r>
            <w:r>
              <w:rPr>
                <w:rFonts w:ascii="Times New Roman" w:hAnsi="Times New Roman"/>
                <w:sz w:val="20"/>
              </w:rPr>
              <w:t>. The Investor hereby represents and warrants to and covenants with the Company, on behalf of itself and each Account, as applicable, that: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4" w:name="z1f43c63ed61944e989da305c46f2dbe1"/>
      <w:bookmarkStart w:id="55" w:name="z1f43c63ed61944e989da305c46f2dbe1"/>
      <w:bookmarkEnd w:id="55"/>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20"/>
              </w:rPr>
            </w:pPr>
            <w:r>
              <w:rPr>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is a corporation, limited partnership, limited liability company or other entity, as the case may be, duly formed, validly existing and in good standing under the laws of the jurisdiction of its formation.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6" w:name="zc46b8ae6cb7241fd99deb282a6bb989c"/>
      <w:bookmarkStart w:id="57" w:name="zc46b8ae6cb7241fd99deb282a6bb989c"/>
      <w:bookmarkEnd w:id="5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Agreement, when executed and delivered, has been duly authorized, executed and delivered by the Investor and constitutes the valid and binding obligation of the Investor, enforceable in accordance with its terms, except that such enforcement may be subject to the Enforceability Exceptions. If the Investor is executing this Subscription Agreement on behalf of an Account, (i) the Investor has all requisite discretionary and contractual authority to enter into this Subscription Agreement on behalf of, and, bind, each Account to the terms of this Agreement and (ii) </w:t>
            </w:r>
            <w:r>
              <w:rPr>
                <w:rFonts w:ascii="Times New Roman" w:hAnsi="Times New Roman"/>
                <w:sz w:val="20"/>
                <w:u w:val="single"/>
              </w:rPr>
              <w:t>Exhibit A</w:t>
            </w:r>
            <w:r>
              <w:rPr>
                <w:rFonts w:ascii="Times New Roman" w:hAnsi="Times New Roman"/>
                <w:sz w:val="20"/>
              </w:rPr>
              <w:t xml:space="preserve"> hereto is a true, correct and complete list of the name of each Subscriber and the aggregate principal amount of Purchased Notes each such Subscriber agrees to purchase hereunder.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8" w:name="zadc511c673f34eb7ae8e544f4afe7c27"/>
      <w:bookmarkStart w:id="59" w:name="zadc511c673f34eb7ae8e544f4afe7c27"/>
      <w:bookmarkEnd w:id="59"/>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20"/>
              </w:rPr>
            </w:pPr>
            <w:r>
              <w:rPr>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Participation in the Subscription will not contravene (1) any law, rule, regulation or governmental or judicial decrees, injunctions or orders binding on the Investor or any Account or any investment guideline or restriction applicable to the Investor (or, if applicable, any Account), (2) the charter or bylaws (or equivalent organizational documents) of the Investor (or, if applicable, any Account) or (3) any agreement or instrument to which the Investor or any Account is a party or by which the Investor or any Account or any of their respective assets are bound.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0" w:name="z5f6ffc539c7943fcaf5b6a46c49c0fc3"/>
      <w:bookmarkStart w:id="61" w:name="z5f6ffc539c7943fcaf5b6a46c49c0fc3"/>
      <w:bookmarkEnd w:id="6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Investor (or applicable Account) is a resident of the jurisdiction set forth in </w:t>
            </w:r>
            <w:r>
              <w:rPr>
                <w:rFonts w:ascii="Times New Roman" w:hAnsi="Times New Roman"/>
                <w:sz w:val="20"/>
                <w:u w:val="single"/>
              </w:rPr>
              <w:t>Exhibit C</w:t>
            </w:r>
            <w:r>
              <w:rPr>
                <w:rFonts w:ascii="Times New Roman" w:hAnsi="Times New Roman"/>
                <w:sz w:val="20"/>
              </w:rPr>
              <w:t xml:space="preserve"> and, unless otherwise set out in </w:t>
            </w:r>
            <w:r>
              <w:rPr>
                <w:rFonts w:ascii="Times New Roman" w:hAnsi="Times New Roman"/>
                <w:sz w:val="20"/>
                <w:u w:val="single"/>
              </w:rPr>
              <w:t>Exhibit A</w:t>
            </w:r>
            <w:r>
              <w:rPr>
                <w:rFonts w:ascii="Times New Roman" w:hAnsi="Times New Roman"/>
                <w:sz w:val="20"/>
              </w:rPr>
              <w:t xml:space="preserve"> hereto, as applicable, is not acquiring the Purchased Notes as a nominee or agent or otherwise for any other person.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2" w:name="z9a5e9338c85a4af9a69ed9f23e25951a"/>
      <w:bookmarkStart w:id="63" w:name="z9a5e9338c85a4af9a69ed9f23e25951a"/>
      <w:bookmarkEnd w:id="63"/>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20"/>
              </w:rPr>
            </w:pPr>
            <w:r>
              <w:rPr>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will comply with all applicable laws and regulations in effect in any jurisdiction in which the Investor or such Account purchases or acquires pursuant to the Subscription, or sells Notes and will obtain any consent, approval or permission required for such purchases, acquisitions or sales under the laws and regulations of any jurisdiction to which the Investor or such Account is subject or in which the Investor or such Account makes such purchases, acquisitions or sales, and the Company shall not have any responsibility therefor.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4" w:name="z1a40dec5c9d546cca984d04a2f582b56"/>
      <w:bookmarkStart w:id="65" w:name="z1a40dec5c9d546cca984d04a2f582b56"/>
      <w:bookmarkEnd w:id="6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has received a copy of the Transaction Documents. The Investor acknowledges that: (1) no person has been authorized to give any information or to make any representation concerning the Subscription or the Company or any of its subsidiaries, other than as contained in this Agreement or the Transaction Documents or in the information given by the Company’s duly authorized officers and employees in connection with the Investor’s examination of the Company and its subsidiaries and the terms of the Subscription; and (2) the Company and its subsidiaries do not take any responsibility for, and cannot provide any assurance as to the reliability of, any other information that may have been provided to the Investor. The Investor hereby acknowledges that J. Wood Capital Advisors LLC (the “</w:t>
            </w:r>
            <w:r>
              <w:rPr>
                <w:rFonts w:ascii="Times New Roman" w:hAnsi="Times New Roman"/>
                <w:b/>
                <w:sz w:val="20"/>
              </w:rPr>
              <w:t>Placement Agent</w:t>
            </w:r>
            <w:r>
              <w:rPr>
                <w:rFonts w:ascii="Times New Roman" w:hAnsi="Times New Roman"/>
                <w:sz w:val="20"/>
              </w:rPr>
              <w:t>”) does not take any responsibility for, and can provide no assurance as to the reliability of, the information set forth in the Transaction Documents or any such other information provided or deemed provided to the Investor by the Company.</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6" w:name="zc410c349969349d9b7c5a2de227b7697"/>
      <w:bookmarkStart w:id="67" w:name="zc410c349969349d9b7c5a2de227b7697"/>
      <w:bookmarkEnd w:id="6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understands and accepts that acquiring the Notes in the Subscription involves risks. The Investor and each Account has such knowledge, skill and experience in business, financial and investment matters that the Investor and each Account is capable of evaluating the merits and risks of the Subscription and an investment in the Notes. With the assistance of its own professional advisors (to the extent the Investor and each Account has deemed appropriate), the Investor and each Account has made its own legal, tax, accounting and financial evaluation of the merits and risks of an investment in the Notes and the consequences of the Subscription and this Agreement. The Investor and each Account has considered the suitability of the Notes as an investment in light of its own circumstances and financial condition, and the Investor is and each Account is able to bear the risks associated with an investment in the Notes. The Investor and each Account understands that it should consult with its own tax advisors in order to determine the U.S. federal, state and local tax consequences of the ownership and disposition of the Notes, in light of the Investor's and each Account's particular circumstances.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8" w:name="z1bd44ef381e24d4389b8ee0f59ecafa7"/>
      <w:bookmarkStart w:id="69" w:name="z1bd44ef381e24d4389b8ee0f59ecafa7"/>
      <w:bookmarkEnd w:id="6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confirms that neither it nor any Account is relying on any communication (written or oral) of the Company or the Placement Agent or any of their respective agents or affiliates as investment advice or as a recommendation to participate in the Subscription and receive the Notes pursuant to the terms hereof. The Investor confirms that it has read the Indenture relating to the Notes and has not relied on any statement (written or oral) of the Company, the Placement Agent or any of their respective affiliates as to the terms of the Notes. It is understood that information provided in the Transaction Documents, or by the Company or the Placement Agent or any of their respective agents or affiliates, shall not be considered investment advice or a recommendation with respect to the Subscription, and that none of the Company, the Placement Agent or any of their respective agents or affiliates is acting or has acted as an advisor to the Investor or any Account in deciding whether to participate in the Subscription.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0" w:name="z0e93bc702e3145e3956f6b668e324311"/>
      <w:bookmarkStart w:id="71" w:name="z0e93bc702e3145e3956f6b668e324311"/>
      <w:bookmarkEnd w:id="71"/>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confirms, for itself and for each Account, that neither the Company nor the Placement Agent have (1) given any guarantee or representation as to the potential success, return, effect or benefit (either legal, regulatory, tax, financial, accounting or otherwise) of an investment in the Notes; or (2) made any representation to the Investor regarding the legality of an investment in the Notes under applicable investment guidelines, laws or regulations. In deciding to participate in the Subscription, neither the Investor nor any Account is relying on the advice or recommendations of the Company or the Placement Agent, and the Investor and each Account has made its own independent decision that the investment in the Notes is suitable and appropriate for the Investor or such Account.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2" w:name="z30178c0eacb1479b90f97bb5bf9e191b"/>
      <w:bookmarkStart w:id="73" w:name="z30178c0eacb1479b90f97bb5bf9e191b"/>
      <w:bookmarkEnd w:id="7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j.</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is a sophisticated participant in the transactions contemplated hereby and has such knowledge and experience in financial and business matters as to be capable of evaluating the merits and risks of an investment in the Notes, is experienced in investing in capital markets and is able to bear the economic risk of an investment in the Notes. The Investor and each Account is familiar with the business and financial condition and operations of the Company and its subsidiaries and has conducted its own investigation of the Company and its subsidiaries and the Notes and has consulted with its own advisors concerning such matters and shall be responsible for making its own independent investigation and appraisal of the transactions contemplated hereby. The Investor and each Account has had access to the Company filings with the Securities and Exchange Commission and such other information concerning the Company and its subsidiaries and the Notes as it deems necessary to enable it to make an informed investment decision concerning the Subscription. The Investor and each Account has been offered the opportunity to ask questions of the Company and its representatives and has received answers thereto as the Investor or such Account deems necessary to enable it to make an informed investment decision concerning the Subscription and the Notes. Neither such inquiries nor any other due diligence investigations conducted by such Investor or its advisors, or its representatives shall modify, amend or affect such Investor’s right to rely on the Company’s representations and warranties contained herein.</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4" w:name="z753dca76e5104e418f7121c3ba734d03"/>
      <w:bookmarkStart w:id="75" w:name="z753dca76e5104e418f7121c3ba734d03"/>
      <w:bookmarkEnd w:id="7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k.</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understands that no federal, state, local or foreign agency has passed upon the merits or risks of an investment in the Notes or made any finding or determination concerning the fairness or advisability of such investment.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6" w:name="ze6c1ba6d0a484ad5af7df9b085706bc3"/>
      <w:bookmarkStart w:id="77" w:name="ze6c1ba6d0a484ad5af7df9b085706bc3"/>
      <w:bookmarkEnd w:id="7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l.</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is an institutional “accredited investor” as defined in Rule 501 of Regulation D under the Securities Act as well as a “qualified institutional buyer” as defined in Rule 144A under the Securities Act. The Investor, for itself and on behalf of each Account, agrees to furnish any additional information reasonably requested by the Company or any of their affiliates to assure compliance with applicable U.S. federal and state securities laws in connection with the Subscription.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8" w:name="z4e2081565bd0402e8a807c742c6c578a"/>
      <w:bookmarkStart w:id="79" w:name="z4e2081565bd0402e8a807c742c6c578a"/>
      <w:bookmarkEnd w:id="79"/>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20"/>
              </w:rPr>
            </w:pPr>
            <w:r>
              <w:rPr>
                <w:sz w:val="20"/>
              </w:rPr>
            </w:r>
          </w:p>
        </w:tc>
        <w:tc>
          <w:tcPr>
            <w:tcW w:w="21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m.</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is not directly, or indirectly through one or more intermediaries, controlling or controlled by, or under direct or indirect common control with, the Company and is not, and has not been for the immediately preceding three months, an “affiliate” (within the meaning of Rule 144 under the Securities Act) of the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0" w:name="ze6ca9ee24c254d668fc10323ae7da5ff"/>
      <w:bookmarkStart w:id="81" w:name="ze6ca9ee24c254d668fc10323ae7da5ff"/>
      <w:bookmarkEnd w:id="8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bookmarkStart w:id="82" w:name="z_Ref515006196"/>
            <w:bookmarkEnd w:id="82"/>
            <w:r>
              <w:rPr>
                <w:rFonts w:ascii="Times New Roman" w:hAnsi="Times New Roman"/>
                <w:sz w:val="20"/>
              </w:rPr>
              <w:t>n.</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is acquiring the Notes solely for the Investor’s or such Account’s own beneficial account, or for an account with respect to which the Investor or such Account exercises sole investment discretion, for investment purposes, and not with a view to, or for resale in connection with, any distribution of the Notes. The Investor and each Account understands that the offer and sale of the Notes have not been registered under the Securities Act or any state securities laws by reason of specific exemptions under the provisions thereof that depend in part upon the investment intent of the Investor or each Account and the accuracy of the other representations made by the Investor and each Account in this Agreement.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3" w:name="zacb7bfe2065c40819ff03a8e71b248d7"/>
      <w:bookmarkStart w:id="84" w:name="zacb7bfe2065c40819ff03a8e71b248d7"/>
      <w:bookmarkEnd w:id="84"/>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Investor and each Account understands that the Company is relying upon the representations and agreements contained in this Agreement (and any supplemental information) for the purpose of determining whether the Investor’s and such Account’s participation in the Subscription meets the requirements for the exemptions referenced in </w:t>
            </w:r>
            <w:r>
              <w:rPr>
                <w:rFonts w:ascii="Times New Roman" w:hAnsi="Times New Roman"/>
                <w:sz w:val="20"/>
                <w:u w:val="single"/>
              </w:rPr>
              <w:t>clause (</w:t>
            </w:r>
            <w:bookmarkStart w:id="85" w:name="z_Hlt22547012"/>
            <w:bookmarkEnd w:id="85"/>
            <w:r>
              <w:rPr>
                <w:rFonts w:ascii="Times New Roman" w:hAnsi="Times New Roman"/>
                <w:sz w:val="20"/>
                <w:u w:val="single"/>
              </w:rPr>
              <w:t>n)</w:t>
            </w:r>
            <w:r>
              <w:rPr>
                <w:rFonts w:ascii="Times New Roman" w:hAnsi="Times New Roman"/>
                <w:sz w:val="20"/>
              </w:rPr>
              <w:t xml:space="preserve"> above. In addition, the Investor and each Account acknowledges and agrees that any hedging transactions engaged in by the Investor or such Account after such Investor or Account was wall crossed and prior to the Closing in connection with the issuance and sale of the Notes have been and will be conducted in compliance with the Securities Act and the rules and regulations promulgated thereunder.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6" w:name="zeb8edf62d2324288869c710652cf79cb"/>
      <w:bookmarkStart w:id="87" w:name="zeb8edf62d2324288869c710652cf79cb"/>
      <w:bookmarkEnd w:id="8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p.</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acknowledges that neither the Notes nor the Underlying Shares have been registered under the Securities Act. As a result, the Notes, and if converted to Underlying Shares, the Underlying Shares, may not be offered or sold within the United States or to, or for the account or benefit of, U.S. persons, except pursuant to an exemption from, or in a transaction not subject to, the registration requirements of the Securities Act as described in the Indenture (including, but not limited to, Section 2.10 thereof), and the Investor, for itself and on behalf of each Account, hereby agrees that neither it nor any Account will sell the Notes nor the Underlying Shares other than in compliance with such transfer restrictions. Further, the Investor and each Account acknowledges that (1) the Notes and, if converted to the Underlying Shares, the Underlying Shares, will carry a restrictive legend and (2) the Notes will be designated with a restricted CUSIP number, in each case, until such time, if any, as the restrictive legend can be removed in the Company’s reasonable judgment in accordance with the terms of the Indenture. The Investor and each Account acknowledges that the Notes may be designated with a restricted CUSIP number indefinitely.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8" w:name="zf5d47dc7df9a43ec84c59ab2f1522a93"/>
      <w:bookmarkStart w:id="89" w:name="zf5d47dc7df9a43ec84c59ab2f1522a93"/>
      <w:bookmarkEnd w:id="8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q.</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acknowledges that the terms of the Subscription have been mutually negotiated between the Investor (for itself and on behalf of each Account), and the Company. The Investor was given a meaningful opportunity to negotiate the terms of the Subscription on behalf of itself and each Account.</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0" w:name="z4c70439bfa804d91be08c085408b072a"/>
      <w:bookmarkStart w:id="91" w:name="z4c70439bfa804d91be08c085408b072a"/>
      <w:bookmarkEnd w:id="91"/>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r.</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acknowledges the Company intends to pay an advisory fee to the Placement Agent and that the Placement Agent intends to purchase shares of Stock.</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2" w:name="zc3289928b9a6490286dfa1064ce10052"/>
      <w:bookmarkStart w:id="93" w:name="zc3289928b9a6490286dfa1064ce10052"/>
      <w:bookmarkEnd w:id="9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20"/>
              </w:rPr>
            </w:pPr>
            <w:r>
              <w:rPr>
                <w:sz w:val="20"/>
              </w:rPr>
            </w:r>
          </w:p>
        </w:tc>
        <w:tc>
          <w:tcPr>
            <w:tcW w:w="1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s.</w:t>
            </w:r>
          </w:p>
        </w:tc>
        <w:tc>
          <w:tcPr>
            <w:tcW w:w="100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will, for itself and on behalf of each Account, upon request, execute and deliver any additional documents, information or certifications reasonably requested by the Company or the Notes Trustee to complete the Subscription.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4" w:name="z6ca9e4f363f6449798d8f60c9a73e769"/>
      <w:bookmarkStart w:id="95" w:name="z6ca9e4f363f6449798d8f60c9a73e769"/>
      <w:bookmarkEnd w:id="9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understands that, unless the Investor notifies the Company in writing to the contrary prior to the Closing, each of the Investor’s representations and warranties contained in this Agreement will be deemed to have been reaffirmed and confirmed as of the Closing, taking into account all information received by the Investor.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6" w:name="z4bac746e5f9641119174a04cff0c3f9e"/>
      <w:bookmarkStart w:id="97" w:name="z4bac746e5f9641119174a04cff0c3f9e"/>
      <w:bookmarkEnd w:id="9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u.</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 Subscriber’s participation in the Subscription was conditioned upon a minimum aggregate principal amount of Notes issued for cash in the Subscription.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8" w:name="zf55815dff9714f9c8e7d046a9d282afb"/>
      <w:bookmarkStart w:id="99" w:name="zf55815dff9714f9c8e7d046a9d282afb"/>
      <w:bookmarkEnd w:id="9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acknowledges that it and each Account had a sufficient amount of time to consider whether to participate in the Subscription and that neither the Company nor the Placement Agent has placed any pressure on the Investor or any Account to respond to the opportunity to participate in the Subscription. The Investor acknowledges that neither it nor any Account became aware of the Subscription through any form of general solicitation or advertising within the meaning of Rule 502 under the Securities Act.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0" w:name="z9dd4811c308143659a30ca0a32cb2c5e"/>
      <w:bookmarkStart w:id="101" w:name="z9dd4811c308143659a30ca0a32cb2c5e"/>
      <w:bookmarkEnd w:id="101"/>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20"/>
              </w:rPr>
            </w:pPr>
            <w:r>
              <w:rPr>
                <w:sz w:val="20"/>
              </w:rPr>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w:t>
            </w:r>
          </w:p>
        </w:tc>
        <w:tc>
          <w:tcPr>
            <w:tcW w:w="996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operations of the Investor and each Account have been conducted in material compliance with the rules and regulations administered or conducted by the U.S. Department of Treasury Office of Foreign Assets Control (“</w:t>
            </w:r>
            <w:r>
              <w:rPr>
                <w:rFonts w:ascii="Times New Roman" w:hAnsi="Times New Roman"/>
                <w:b/>
                <w:sz w:val="20"/>
              </w:rPr>
              <w:t>OFAC</w:t>
            </w:r>
            <w:r>
              <w:rPr>
                <w:rFonts w:ascii="Times New Roman" w:hAnsi="Times New Roman"/>
                <w:sz w:val="20"/>
              </w:rPr>
              <w:t>”), the rules and regulations of the Foreign Corrupt Practices Act (“</w:t>
            </w:r>
            <w:r>
              <w:rPr>
                <w:rFonts w:ascii="Times New Roman" w:hAnsi="Times New Roman"/>
                <w:b/>
                <w:sz w:val="20"/>
              </w:rPr>
              <w:t>FCPA</w:t>
            </w:r>
            <w:r>
              <w:rPr>
                <w:rFonts w:ascii="Times New Roman" w:hAnsi="Times New Roman"/>
                <w:sz w:val="20"/>
              </w:rPr>
              <w:t>”) and the Anti-Money Laundering (“</w:t>
            </w:r>
            <w:r>
              <w:rPr>
                <w:rFonts w:ascii="Times New Roman" w:hAnsi="Times New Roman"/>
                <w:b/>
                <w:sz w:val="20"/>
              </w:rPr>
              <w:t>AML</w:t>
            </w:r>
            <w:r>
              <w:rPr>
                <w:rFonts w:ascii="Times New Roman" w:hAnsi="Times New Roman"/>
                <w:sz w:val="20"/>
              </w:rPr>
              <w:t>”) rules in the Bank Secrecy Act applicable to the Investor. The Investor has performed due diligence necessary to reasonably determine that its (or, where applicable, any Account’s) beneficial owners are not named on the lists of denied parties or blocked persons administered by OFAC, resident in or organized under the laws of a country that is the subject of comprehensive economic sanctions and embargoes administered or conducted by OFAC (“</w:t>
            </w:r>
            <w:r>
              <w:rPr>
                <w:rFonts w:ascii="Times New Roman" w:hAnsi="Times New Roman"/>
                <w:b/>
                <w:sz w:val="20"/>
              </w:rPr>
              <w:t>Sanctions</w:t>
            </w:r>
            <w:r>
              <w:rPr>
                <w:rFonts w:ascii="Times New Roman" w:hAnsi="Times New Roman"/>
                <w:sz w:val="20"/>
              </w:rPr>
              <w:t>”), are not otherwise the subject of Sanctions and have not been found to be in violation or under suspicion of violating OFAC, FCPA or AML rules and regulations.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2" w:name="z64219ee6d3bb4691a361886f928f3203"/>
      <w:bookmarkStart w:id="103" w:name="z64219ee6d3bb4691a361886f928f3203"/>
      <w:bookmarkEnd w:id="10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x.</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acknowledges and agrees that the Placement Agent has not acted as a financial advisor or fiduciary to the Investor or such Account and that the Placement Agent and its respective directors, officers, employees, representatives and controlling persons have no responsibility for making, and have not made, any independent investigation of the information contained herein or in the Company’s Securities and Exchange Commission filings and make no representation or warranty to the Investor or such Account, express or implied, with respect to the Company or the Subscription or the accuracy, completeness or adequacy of the information provided to the Investor or the Account or any other publicly available information, nor will any of the foregoing persons be liable for any loss or damages of any kind resulting from the use of the information contained therein or otherwise supplied to the Investor or such Account.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4" w:name="zb518f99a1803454bbd243e52e75d349e"/>
      <w:bookmarkStart w:id="105" w:name="zb518f99a1803454bbd243e52e75d349e"/>
      <w:bookmarkEnd w:id="10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y.</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Investor and each Account acknowledges and agrees that no public market exists for the Notes and that there is no assurance that a public market will ever develop for the Notes. Furthermore, the Investor and each Account acknowledges that all of the Notes, including the Purchased Notes, shall be assigned the same restricted CUSIP number.</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6" w:name="ze4659946b32948b19805d5cd1ac4d7e9"/>
      <w:bookmarkStart w:id="107" w:name="ze4659946b32948b19805d5cd1ac4d7e9"/>
      <w:bookmarkEnd w:id="107"/>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20"/>
              </w:rPr>
            </w:pPr>
            <w:r>
              <w:rPr>
                <w:sz w:val="20"/>
              </w:rPr>
            </w:r>
          </w:p>
        </w:tc>
        <w:tc>
          <w:tcPr>
            <w:tcW w:w="133" w:type="dxa"/>
            <w:tcBorders/>
            <w:vAlign w:val="center"/>
          </w:tcPr>
          <w:p>
            <w:pPr>
              <w:pStyle w:val="TableContents"/>
              <w:bidi w:val="0"/>
              <w:spacing w:before="0" w:after="283"/>
              <w:jc w:val="left"/>
              <w:rPr>
                <w:rFonts w:ascii="Times New Roman" w:hAnsi="Times New Roman"/>
                <w:sz w:val="20"/>
              </w:rPr>
            </w:pPr>
            <w:bookmarkStart w:id="108" w:name="z_Ref515005131"/>
            <w:bookmarkEnd w:id="108"/>
            <w:r>
              <w:rPr>
                <w:rFonts w:ascii="Times New Roman" w:hAnsi="Times New Roman"/>
                <w:sz w:val="20"/>
              </w:rPr>
              <w:t>6.</w:t>
            </w:r>
          </w:p>
        </w:tc>
        <w:tc>
          <w:tcPr>
            <w:tcW w:w="100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Conditions to Obligations of the Investor and the Company</w:t>
            </w:r>
            <w:r>
              <w:rPr>
                <w:rFonts w:ascii="Times New Roman" w:hAnsi="Times New Roman"/>
                <w:sz w:val="20"/>
              </w:rPr>
              <w:t xml:space="preserve">. The obligations of the Investor to deliver, or to cause the Accounts to deliver, the Cash Purchase Price and of the Company to deliver the Notes are subject to the satisfaction at or prior to the Closing of the condition precedent that the representations and warranties of the Company on the one hand, and of the Investor on the other contained in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5</w:t>
            </w:r>
            <w:r>
              <w:rPr>
                <w:rFonts w:ascii="Times New Roman" w:hAnsi="Times New Roman"/>
                <w:sz w:val="20"/>
              </w:rPr>
              <w:t>, respectively, shall be true and correct as of the Closing in all material respects with the same effect as though such representations and warranties had been made as of the Closing.</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9" w:name="zf72bb331a905461096839f6d5d3d8c77"/>
      <w:bookmarkStart w:id="110" w:name="zf72bb331a905461096839f6d5d3d8c77"/>
      <w:bookmarkEnd w:id="110"/>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20"/>
              </w:rPr>
            </w:pPr>
            <w:r>
              <w:rPr>
                <w:sz w:val="20"/>
              </w:rPr>
            </w:r>
          </w:p>
        </w:tc>
        <w:tc>
          <w:tcPr>
            <w:tcW w:w="1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03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Covenant and Acknowledgment of the Company</w:t>
            </w:r>
            <w:r>
              <w:rPr>
                <w:rFonts w:ascii="Times New Roman" w:hAnsi="Times New Roman"/>
                <w:sz w:val="20"/>
              </w:rPr>
              <w:t>. The Company hereby agrees to publicly disclose at or prior to 9:00 a.m., New York City time (the “</w:t>
            </w:r>
            <w:r>
              <w:rPr>
                <w:rFonts w:ascii="Times New Roman" w:hAnsi="Times New Roman"/>
                <w:b/>
                <w:sz w:val="20"/>
              </w:rPr>
              <w:t>Release Time</w:t>
            </w:r>
            <w:r>
              <w:rPr>
                <w:rFonts w:ascii="Times New Roman" w:hAnsi="Times New Roman"/>
                <w:sz w:val="20"/>
              </w:rPr>
              <w:t xml:space="preserve">”), on the first business day after the date hereof, the Subscription as contemplated by this Subscription Agreement in a press release or through the filing of a Current Report on Form 8-K. The Company hereby acknowledges and agrees that as of the Release Time the Company will disclose all confidential information to the extent the Company believes such confidential information constitutes material non-public information, if any, with respect to the Subscription or that was otherwise communicated by the Company to the Investor or any Account in connection with the Subscription. For the avoidance of doubt, the Company may be aware of material non-public information regarding the Company at the time of Closing that has not been communicated to the Investor or any Account. </w:t>
            </w:r>
            <w:bookmarkStart w:id="111" w:name="z_cp_change_177"/>
            <w:bookmarkEnd w:id="111"/>
            <w:r>
              <w:rPr>
                <w:rFonts w:ascii="Times New Roman" w:hAnsi="Times New Roman"/>
                <w:sz w:val="20"/>
              </w:rPr>
              <w:t>The Company will, no later than the first business day following the Closing, file a Current Report on Form 8-K publicly disclosing the closing of the Subscription as contemplated by this Subscription Agreement.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2" w:name="zd5c2d92d60fd445bbfb23f4bdcd05388"/>
      <w:bookmarkStart w:id="113" w:name="zd5c2d92d60fd445bbfb23f4bdcd05388"/>
      <w:bookmarkEnd w:id="113"/>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20"/>
              </w:rPr>
            </w:pPr>
            <w:r>
              <w:rPr>
                <w:sz w:val="20"/>
              </w:rPr>
            </w:r>
          </w:p>
        </w:tc>
        <w:tc>
          <w:tcPr>
            <w:tcW w:w="14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100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Covenant of the Investor</w:t>
            </w:r>
            <w:r>
              <w:rPr>
                <w:rFonts w:ascii="Times New Roman" w:hAnsi="Times New Roman"/>
                <w:sz w:val="20"/>
              </w:rPr>
              <w:t xml:space="preserve">. No later than one (1) business day after the date hereof, the Investor agrees to deliver settlement instructions for each Purchaser to the Company substantially in the form of </w:t>
            </w:r>
            <w:r>
              <w:rPr>
                <w:rFonts w:ascii="Times New Roman" w:hAnsi="Times New Roman"/>
                <w:sz w:val="20"/>
                <w:u w:val="single"/>
              </w:rPr>
              <w:t>Exhibit C</w:t>
            </w:r>
            <w:r>
              <w:rPr>
                <w:rFonts w:ascii="Times New Roman" w:hAnsi="Times New Roman"/>
                <w:sz w:val="20"/>
              </w:rPr>
              <w:t xml:space="preserve"> hereto.</w:t>
            </w:r>
          </w:p>
        </w:tc>
      </w:tr>
    </w:tbl>
    <w:p>
      <w:pPr>
        <w:pStyle w:val="TextBody"/>
        <w:bidi w:val="0"/>
        <w:spacing w:before="0" w:after="0"/>
        <w:jc w:val="both"/>
        <w:rPr>
          <w:sz w:val="20"/>
        </w:rPr>
      </w:pPr>
      <w:r>
        <w:rPr>
          <w:sz w:val="20"/>
        </w:rPr>
      </w:r>
    </w:p>
    <w:p>
      <w:pPr>
        <w:pStyle w:val="Normal"/>
        <w:bidi w:val="0"/>
        <w:spacing w:before="0" w:after="0"/>
        <w:jc w:val="left"/>
        <w:rPr>
          <w:sz w:val="4"/>
          <w:szCs w:val="4"/>
        </w:rPr>
      </w:pPr>
      <w:r>
        <w:rPr>
          <w:sz w:val="4"/>
          <w:szCs w:val="4"/>
        </w:rPr>
      </w:r>
      <w:bookmarkStart w:id="114" w:name="z888e74eaba824de9b2491b68a1a18523"/>
      <w:bookmarkStart w:id="115" w:name="z888e74eaba824de9b2491b68a1a18523"/>
      <w:bookmarkEnd w:id="115"/>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20"/>
              </w:rPr>
            </w:pPr>
            <w:r>
              <w:rPr>
                <w:sz w:val="20"/>
              </w:rPr>
            </w:r>
          </w:p>
        </w:tc>
        <w:tc>
          <w:tcPr>
            <w:tcW w:w="14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1002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Waiver, Amendment</w:t>
            </w:r>
            <w:r>
              <w:rPr>
                <w:rFonts w:ascii="Times New Roman" w:hAnsi="Times New Roman"/>
                <w:sz w:val="20"/>
              </w:rPr>
              <w:t>. Neither this Agreement nor any provisions hereof shall be modified, changed, discharged or terminated except by an instrument in writing, signed by the party against whom any waiver, change, discharge or termination is sought.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6" w:name="z292bd64207ab4dd0a11956f5136e85f6"/>
      <w:bookmarkStart w:id="117" w:name="z292bd64207ab4dd0a11956f5136e85f6"/>
      <w:bookmarkEnd w:id="117"/>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20"/>
              </w:rPr>
            </w:pPr>
            <w:r>
              <w:rPr>
                <w:sz w:val="20"/>
              </w:rPr>
            </w:r>
          </w:p>
        </w:tc>
        <w:tc>
          <w:tcPr>
            <w:tcW w:w="25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w:t>
            </w:r>
          </w:p>
        </w:tc>
        <w:tc>
          <w:tcPr>
            <w:tcW w:w="991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Assignability</w:t>
            </w:r>
            <w:r>
              <w:rPr>
                <w:rFonts w:ascii="Times New Roman" w:hAnsi="Times New Roman"/>
                <w:sz w:val="20"/>
              </w:rPr>
              <w:t>. Neither this Agreement nor any right, remedy, obligation or liability arising hereunder or by reason hereof shall be assignable by the Company or the Investor without the prior written consent of the other party.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8" w:name="z29f7a1c4c1ec4424a09f163a69cd5367"/>
      <w:bookmarkStart w:id="119" w:name="z29f7a1c4c1ec4424a09f163a69cd5367"/>
      <w:bookmarkEnd w:id="119"/>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20"/>
              </w:rPr>
            </w:pPr>
            <w:r>
              <w:rPr>
                <w:sz w:val="20"/>
              </w:rPr>
            </w:r>
          </w:p>
        </w:tc>
        <w:tc>
          <w:tcPr>
            <w:tcW w:w="2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9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Waiver of Jury Trial</w:t>
            </w:r>
            <w:r>
              <w:rPr>
                <w:rFonts w:ascii="Times New Roman" w:hAnsi="Times New Roman"/>
                <w:sz w:val="20"/>
              </w:rPr>
              <w:t>. EACH OF THE COMPANY AND THE INVESTOR (FOR ITSELF AND, IF APPLICABLE, ON BEHALF OF EACH ACCOUNT) IRREVOCABLY WAIVES ANY AND ALL RIGHT TO TRIAL BY JURY WITH RESPECT TO ANY LEGAL PROCEEDING ARISING OUT OF THE TRANSACTIONS CONTEMPLATED BY THIS SUBSCRIPTION AGREEMENT.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0" w:name="z7a597c3cfbe94e099dc68af0c091c9a0"/>
      <w:bookmarkStart w:id="121" w:name="z7a597c3cfbe94e099dc68af0c091c9a0"/>
      <w:bookmarkEnd w:id="121"/>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20"/>
              </w:rPr>
            </w:pPr>
            <w:r>
              <w:rPr>
                <w:sz w:val="20"/>
              </w:rPr>
            </w:r>
          </w:p>
        </w:tc>
        <w:tc>
          <w:tcPr>
            <w:tcW w:w="24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12.</w:t>
            </w:r>
          </w:p>
        </w:tc>
        <w:tc>
          <w:tcPr>
            <w:tcW w:w="992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Governing Law</w:t>
            </w:r>
            <w:r>
              <w:rPr>
                <w:rFonts w:ascii="Times New Roman" w:hAnsi="Times New Roman"/>
                <w:sz w:val="20"/>
              </w:rPr>
              <w:t>. THIS AGREEMENT SHALL BE GOVERNED BY THE LAWS OF THE STATE OF NEW YORK WITHOUT REGARD TO CONFLICT OF LAW PRINCIPLES THAT WOULD RESULT IN THE APPLICATION OF ANY LAW OTHER THAN THE LAW OF THE STATE OF NEW YORK.</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2" w:name="zb01551724dc04102a852c8659699754d"/>
      <w:bookmarkStart w:id="123" w:name="zb01551724dc04102a852c8659699754d"/>
      <w:bookmarkEnd w:id="123"/>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20"/>
              </w:rPr>
            </w:pPr>
            <w:r>
              <w:rPr>
                <w:sz w:val="20"/>
              </w:rPr>
            </w:r>
          </w:p>
        </w:tc>
        <w:tc>
          <w:tcPr>
            <w:tcW w:w="235" w:type="dxa"/>
            <w:tcBorders/>
            <w:vAlign w:val="center"/>
          </w:tcPr>
          <w:p>
            <w:pPr>
              <w:pStyle w:val="TableContents"/>
              <w:bidi w:val="0"/>
              <w:spacing w:before="0" w:after="283"/>
              <w:jc w:val="left"/>
              <w:rPr>
                <w:rFonts w:ascii="Times New Roman" w:hAnsi="Times New Roman"/>
                <w:sz w:val="20"/>
              </w:rPr>
            </w:pPr>
            <w:bookmarkStart w:id="124" w:name="z_Ref515006451"/>
            <w:bookmarkStart w:id="125" w:name="z_Hlt22547047"/>
            <w:bookmarkEnd w:id="124"/>
            <w:bookmarkEnd w:id="125"/>
            <w:r>
              <w:rPr>
                <w:rFonts w:ascii="Times New Roman" w:hAnsi="Times New Roman"/>
                <w:sz w:val="20"/>
              </w:rPr>
              <w:t>13.</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Submission to Jurisdiction</w:t>
            </w:r>
            <w:r>
              <w:rPr>
                <w:rFonts w:ascii="Times New Roman" w:hAnsi="Times New Roman"/>
                <w:sz w:val="20"/>
              </w:rPr>
              <w:t>. Each of the Company and the Investor (for itself and, if applicable, on behalf of each Account) (a) agrees that any legal suit, action or proceeding arising out of or relating to this Agreement or the transactions contemplated hereby shall be instituted exclusively in the courts of the State of New York located in the City and County of New York or in the United States District Court for the Southern District of New York; (b) waives any objection that it may now or hereafter have to the venue of any such suit, action or proceeding; and (c) irrevocably consents to the jurisdiction of the aforesaid courts in any such suit, action or proceeding. Each of the Company and the Investor (for itself and, if applicable, on behalf of each Account) agrees that a final judgment in any such action or proceeding shall be conclusive and may be enforced in other jurisdictions by suit on the judgment or in any other manner provided by law.</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6" w:name="z78139d44d538424998062b21b2398d30"/>
      <w:bookmarkStart w:id="127" w:name="z78139d44d538424998062b21b2398d30"/>
      <w:bookmarkEnd w:id="127"/>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20"/>
              </w:rPr>
            </w:pPr>
            <w:r>
              <w:rPr>
                <w:sz w:val="20"/>
              </w:rPr>
            </w:r>
          </w:p>
        </w:tc>
        <w:tc>
          <w:tcPr>
            <w:tcW w:w="23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14.</w:t>
            </w:r>
          </w:p>
        </w:tc>
        <w:tc>
          <w:tcPr>
            <w:tcW w:w="99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Venue</w:t>
            </w:r>
            <w:r>
              <w:rPr>
                <w:rFonts w:ascii="Times New Roman" w:hAnsi="Times New Roman"/>
                <w:sz w:val="20"/>
              </w:rPr>
              <w:t xml:space="preserve">. Each of the Company and the Investor (for itself and, if applicable, on behalf of each Account)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hAnsi="Times New Roman"/>
                <w:sz w:val="20"/>
                <w:u w:val="single"/>
              </w:rPr>
              <w:t>Section 13</w:t>
            </w:r>
            <w:r>
              <w:rPr>
                <w:rFonts w:ascii="Times New Roman" w:hAnsi="Times New Roman"/>
                <w:sz w:val="20"/>
              </w:rPr>
              <w:t>. Each of the Company and the Investor (for itself and, if applicable, on behalf of each Account) irrevocably waives, to the fullest extent permitted by law, the defense of an inconvenient forum to the maintenance of such action or proceeding in any such court.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8" w:name="z2544d69074d341a391a86c153d7c063d"/>
      <w:bookmarkStart w:id="129" w:name="z2544d69074d341a391a86c153d7c063d"/>
      <w:bookmarkEnd w:id="129"/>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20"/>
              </w:rPr>
            </w:pPr>
            <w:r>
              <w:rPr>
                <w:sz w:val="20"/>
              </w:rPr>
            </w:r>
          </w:p>
        </w:tc>
        <w:tc>
          <w:tcPr>
            <w:tcW w:w="2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15.</w:t>
            </w:r>
          </w:p>
        </w:tc>
        <w:tc>
          <w:tcPr>
            <w:tcW w:w="992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Service of Process</w:t>
            </w:r>
            <w:r>
              <w:rPr>
                <w:rFonts w:ascii="Times New Roman" w:hAnsi="Times New Roman"/>
                <w:sz w:val="20"/>
              </w:rPr>
              <w:t xml:space="preserve">. Each of the Company and the Investor (for itself and, if applicable, on behalf of each Account) irrevocably consents to service of process in the manner provided for notices in </w:t>
            </w:r>
            <w:r>
              <w:rPr>
                <w:rFonts w:ascii="Times New Roman" w:hAnsi="Times New Roman"/>
                <w:sz w:val="20"/>
                <w:u w:val="single"/>
              </w:rPr>
              <w:t>Section 18</w:t>
            </w:r>
            <w:r>
              <w:rPr>
                <w:rFonts w:ascii="Times New Roman" w:hAnsi="Times New Roman"/>
                <w:sz w:val="20"/>
              </w:rPr>
              <w:t>. Nothing in this Subscription Agreement will affect the right of any party to this Agreement to serve process in any other manner permitted by law.</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0" w:name="za22c0abd0d1749d4954ded58efe63f53"/>
      <w:bookmarkStart w:id="131" w:name="za22c0abd0d1749d4954ded58efe63f53"/>
      <w:bookmarkEnd w:id="131"/>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20"/>
              </w:rPr>
            </w:pPr>
            <w:r>
              <w:rPr>
                <w:sz w:val="20"/>
              </w:rPr>
            </w:r>
          </w:p>
        </w:tc>
        <w:tc>
          <w:tcPr>
            <w:tcW w:w="25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16.</w:t>
            </w:r>
          </w:p>
        </w:tc>
        <w:tc>
          <w:tcPr>
            <w:tcW w:w="991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Section and Other Headings</w:t>
            </w:r>
            <w:r>
              <w:rPr>
                <w:rFonts w:ascii="Times New Roman" w:hAnsi="Times New Roman"/>
                <w:sz w:val="20"/>
              </w:rPr>
              <w:t>. The section and other headings contained in this Subscription Agreement are for reference purposes only and shall not affect the meaning or interpretation of this Subscription Agreement.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2" w:name="z4a6df7b219ad4c3aa3d7c48d526c0386"/>
      <w:bookmarkStart w:id="133" w:name="z4a6df7b219ad4c3aa3d7c48d526c0386"/>
      <w:bookmarkEnd w:id="133"/>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20"/>
              </w:rPr>
            </w:pPr>
            <w:r>
              <w:rPr>
                <w:sz w:val="20"/>
              </w:rPr>
            </w:r>
          </w:p>
        </w:tc>
        <w:tc>
          <w:tcPr>
            <w:tcW w:w="2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17.</w:t>
            </w:r>
          </w:p>
        </w:tc>
        <w:tc>
          <w:tcPr>
            <w:tcW w:w="9933" w:type="dxa"/>
            <w:tcBorders/>
            <w:vAlign w:val="center"/>
          </w:tcPr>
          <w:p>
            <w:pPr>
              <w:pStyle w:val="TableContents"/>
              <w:bidi w:val="0"/>
              <w:spacing w:before="0" w:after="0"/>
              <w:jc w:val="both"/>
              <w:rPr>
                <w:rFonts w:ascii="Times New Roman" w:hAnsi="Times New Roman"/>
                <w:sz w:val="16"/>
              </w:rPr>
            </w:pPr>
            <w:r>
              <w:rPr>
                <w:rFonts w:ascii="Times New Roman" w:hAnsi="Times New Roman"/>
                <w:sz w:val="20"/>
                <w:u w:val="single"/>
              </w:rPr>
              <w:t>Counterparts</w:t>
            </w:r>
            <w:r>
              <w:rPr>
                <w:rFonts w:ascii="Times New Roman" w:hAnsi="Times New Roman"/>
                <w:sz w:val="20"/>
              </w:rPr>
              <w:t>. This Agreement may be executed, either manually or by way of a digital signature provided by DocuSign (or similar digital signature provider), by one or more of the parties hereto in any number of separate counterparts (including by facsimile or other electronic means, including telecopy, email or otherwise), and all of said counterparts taken together shall be deemed to constitute one and the same instrument. Delivery of an executed signature page of this Subscription Agreement (whether executed manually or by way of a digital signature as described herein this Section 17) by facsimile or other transmission (</w:t>
            </w:r>
            <w:r>
              <w:rPr>
                <w:rFonts w:ascii="Times New Roman" w:hAnsi="Times New Roman"/>
                <w:i/>
                <w:sz w:val="20"/>
              </w:rPr>
              <w:t>e.g.</w:t>
            </w:r>
            <w:r>
              <w:rPr>
                <w:rFonts w:ascii="Times New Roman" w:hAnsi="Times New Roman"/>
                <w:sz w:val="20"/>
              </w:rPr>
              <w:t xml:space="preserve">, “pdf” or “tif” format) shall be effective as delivery of a manually executed counterpart hereof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UCC.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4" w:name="ze5c92c830ba44e798f26145ebd4c3a22"/>
      <w:bookmarkStart w:id="135" w:name="ze5c92c830ba44e798f26145ebd4c3a22"/>
      <w:bookmarkEnd w:id="135"/>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20"/>
              </w:rPr>
            </w:pPr>
            <w:r>
              <w:rPr>
                <w:sz w:val="20"/>
              </w:rPr>
            </w:r>
          </w:p>
        </w:tc>
        <w:tc>
          <w:tcPr>
            <w:tcW w:w="239" w:type="dxa"/>
            <w:tcBorders/>
            <w:vAlign w:val="center"/>
          </w:tcPr>
          <w:p>
            <w:pPr>
              <w:pStyle w:val="TableContents"/>
              <w:bidi w:val="0"/>
              <w:spacing w:before="0" w:after="283"/>
              <w:jc w:val="left"/>
              <w:rPr>
                <w:rFonts w:ascii="Times New Roman" w:hAnsi="Times New Roman"/>
                <w:sz w:val="20"/>
              </w:rPr>
            </w:pPr>
            <w:bookmarkStart w:id="136" w:name="z_Ref22202805"/>
            <w:bookmarkStart w:id="137" w:name="z_Hlt22547054"/>
            <w:bookmarkEnd w:id="136"/>
            <w:bookmarkEnd w:id="137"/>
            <w:r>
              <w:rPr>
                <w:rFonts w:ascii="Times New Roman" w:hAnsi="Times New Roman"/>
                <w:sz w:val="20"/>
              </w:rPr>
              <w:t>18.</w:t>
            </w:r>
          </w:p>
        </w:tc>
        <w:tc>
          <w:tcPr>
            <w:tcW w:w="99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All notices and other communications to the Company provided for herein shall be in writing and shall be deemed to have been duly given if delivered personally or sent by registered or certified mail, return receipt requested, postage prepaid to the following addresses or pursuant to the following email addresses, or, in the case of the Investor or any Account, the address provided in </w:t>
            </w:r>
            <w:r>
              <w:rPr>
                <w:rFonts w:ascii="Times New Roman" w:hAnsi="Times New Roman"/>
                <w:sz w:val="20"/>
                <w:u w:val="single"/>
              </w:rPr>
              <w:t>Exhibit C</w:t>
            </w:r>
            <w:r>
              <w:rPr>
                <w:rFonts w:ascii="Times New Roman" w:hAnsi="Times New Roman"/>
                <w:sz w:val="20"/>
              </w:rPr>
              <w:t xml:space="preserve"> (or such other address as either party shall have specified by notice in writing to the other):</w:t>
            </w:r>
          </w:p>
        </w:tc>
      </w:tr>
    </w:tbl>
    <w:p>
      <w:pPr>
        <w:pStyle w:val="TextBody"/>
        <w:bidi w:val="0"/>
        <w:spacing w:before="0" w:after="0"/>
        <w:jc w:val="both"/>
        <w:rPr>
          <w:sz w:val="20"/>
        </w:rPr>
      </w:pPr>
      <w:r>
        <w:rPr>
          <w:sz w:val="20"/>
        </w:rPr>
      </w:r>
    </w:p>
    <w:p>
      <w:pPr>
        <w:pStyle w:val="Normal"/>
        <w:bidi w:val="0"/>
        <w:spacing w:before="0" w:after="0"/>
        <w:jc w:val="left"/>
        <w:rPr>
          <w:sz w:val="4"/>
          <w:szCs w:val="4"/>
        </w:rPr>
      </w:pPr>
      <w:r>
        <w:rPr>
          <w:sz w:val="4"/>
          <w:szCs w:val="4"/>
        </w:rPr>
      </w:r>
      <w:bookmarkStart w:id="138" w:name="zcbbab591c79a46ba9e0b2d202920e9a0"/>
      <w:bookmarkStart w:id="139" w:name="zcbbab591c79a46ba9e0b2d202920e9a0"/>
      <w:bookmarkEnd w:id="139"/>
    </w:p>
    <w:tbl>
      <w:tblPr>
        <w:tblW w:w="3425" w:type="dxa"/>
        <w:jc w:val="left"/>
        <w:tblInd w:w="0" w:type="dxa"/>
        <w:tblLayout w:type="fixed"/>
        <w:tblCellMar>
          <w:top w:w="0" w:type="dxa"/>
          <w:left w:w="0" w:type="dxa"/>
          <w:bottom w:w="0" w:type="dxa"/>
          <w:right w:w="0" w:type="dxa"/>
        </w:tblCellMar>
      </w:tblPr>
      <w:tblGrid>
        <w:gridCol w:w="60"/>
        <w:gridCol w:w="3305"/>
        <w:gridCol w:w="60"/>
      </w:tblGrid>
      <w:tr>
        <w:trPr/>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to the Company:</w:t>
            </w:r>
          </w:p>
          <w:p>
            <w:pPr>
              <w:pStyle w:val="TableContents"/>
              <w:bidi w:val="0"/>
              <w:spacing w:before="100" w:after="0"/>
              <w:ind w:left="0" w:right="0" w:hanging="0"/>
              <w:jc w:val="left"/>
              <w:rPr>
                <w:rFonts w:ascii="Times New Roman" w:hAnsi="Times New Roman"/>
                <w:sz w:val="20"/>
              </w:rPr>
            </w:pPr>
            <w:r>
              <w:rPr>
                <w:rFonts w:ascii="Times New Roman" w:hAnsi="Times New Roman"/>
                <w:sz w:val="20"/>
              </w:rPr>
              <w:t>Opendoor Technologies Inc.</w:t>
            </w:r>
          </w:p>
          <w:p>
            <w:pPr>
              <w:pStyle w:val="TableContents"/>
              <w:bidi w:val="0"/>
              <w:spacing w:before="0" w:after="0"/>
              <w:jc w:val="left"/>
              <w:rPr>
                <w:rFonts w:ascii="Times New Roman" w:hAnsi="Times New Roman"/>
                <w:sz w:val="20"/>
              </w:rPr>
            </w:pPr>
            <w:r>
              <w:rPr>
                <w:rFonts w:ascii="Times New Roman" w:hAnsi="Times New Roman"/>
                <w:sz w:val="20"/>
              </w:rPr>
              <w:t>1295 West Washington Street, Suite 115</w:t>
            </w:r>
          </w:p>
          <w:p>
            <w:pPr>
              <w:pStyle w:val="TableContents"/>
              <w:bidi w:val="0"/>
              <w:spacing w:before="0" w:after="0"/>
              <w:jc w:val="left"/>
              <w:rPr>
                <w:rFonts w:ascii="Times New Roman" w:hAnsi="Times New Roman"/>
                <w:sz w:val="20"/>
              </w:rPr>
            </w:pPr>
            <w:r>
              <w:rPr>
                <w:rFonts w:ascii="Times New Roman" w:hAnsi="Times New Roman"/>
                <w:sz w:val="20"/>
              </w:rPr>
              <w:t>Tempe, AZ 85288</w:t>
            </w:r>
          </w:p>
          <w:p>
            <w:pPr>
              <w:pStyle w:val="TableContents"/>
              <w:bidi w:val="0"/>
              <w:spacing w:before="0" w:after="0"/>
              <w:jc w:val="left"/>
              <w:rPr>
                <w:rFonts w:ascii="Times New Roman" w:hAnsi="Times New Roman"/>
                <w:sz w:val="20"/>
              </w:rPr>
            </w:pPr>
            <w:r>
              <w:rPr>
                <w:rFonts w:ascii="Times New Roman" w:hAnsi="Times New Roman"/>
                <w:sz w:val="20"/>
              </w:rPr>
              <w:t>Attention: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0" w:name="z969e000f441a4452aa91ff242e67be21"/>
      <w:bookmarkStart w:id="141" w:name="z969e000f441a4452aa91ff242e67be21"/>
      <w:bookmarkEnd w:id="141"/>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20"/>
              </w:rPr>
            </w:pPr>
            <w:r>
              <w:rPr>
                <w:sz w:val="20"/>
              </w:rPr>
            </w:r>
          </w:p>
        </w:tc>
        <w:tc>
          <w:tcPr>
            <w:tcW w:w="25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19.</w:t>
            </w:r>
          </w:p>
        </w:tc>
        <w:tc>
          <w:tcPr>
            <w:tcW w:w="991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Binding Effect</w:t>
            </w:r>
            <w:r>
              <w:rPr>
                <w:rFonts w:ascii="Times New Roman" w:hAnsi="Times New Roman"/>
                <w:sz w:val="20"/>
              </w:rPr>
              <w:t>. The provisions of this Subscription Agreement shall be binding upon and accrue to the benefit of the parties hereto and their respective heirs, legal representatives, successors and permitted assigns.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2" w:name="z3eac4f8081334c329fa5a4b8999e26ab"/>
      <w:bookmarkStart w:id="143" w:name="z3eac4f8081334c329fa5a4b8999e26ab"/>
      <w:bookmarkEnd w:id="143"/>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20"/>
              </w:rPr>
            </w:pPr>
            <w:r>
              <w:rPr>
                <w:sz w:val="20"/>
              </w:rPr>
            </w:r>
          </w:p>
        </w:tc>
        <w:tc>
          <w:tcPr>
            <w:tcW w:w="2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20.</w:t>
            </w:r>
          </w:p>
        </w:tc>
        <w:tc>
          <w:tcPr>
            <w:tcW w:w="99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Notification of Changes</w:t>
            </w:r>
            <w:r>
              <w:rPr>
                <w:rFonts w:ascii="Times New Roman" w:hAnsi="Times New Roman"/>
                <w:sz w:val="20"/>
              </w:rPr>
              <w:t>. The Investor (for itself and, if applicable, on behalf of each Account) hereby covenants and agrees to notify the Company upon the occurrence of any event prior to the Closing that would cause any representation, warranty, or covenant of the Investor (and/or such Account) contained in this Agreement to be false or incorrect in any material respect.</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4" w:name="z4b519c687ba844859fc726f93be21ace"/>
      <w:bookmarkStart w:id="145" w:name="z_Hlt22547063"/>
      <w:bookmarkStart w:id="146" w:name="z4b519c687ba844859fc726f93be21ace"/>
      <w:bookmarkStart w:id="147" w:name="z_Hlt22547063"/>
      <w:bookmarkEnd w:id="146"/>
      <w:bookmarkEnd w:id="147"/>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20"/>
              </w:rPr>
            </w:pPr>
            <w:r>
              <w:rPr>
                <w:sz w:val="20"/>
              </w:rPr>
            </w:r>
          </w:p>
        </w:tc>
        <w:tc>
          <w:tcPr>
            <w:tcW w:w="2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21.</w:t>
            </w:r>
          </w:p>
        </w:tc>
        <w:tc>
          <w:tcPr>
            <w:tcW w:w="993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Reliance by Placement Agent</w:t>
            </w:r>
            <w:r>
              <w:rPr>
                <w:rFonts w:ascii="Times New Roman" w:hAnsi="Times New Roman"/>
                <w:sz w:val="20"/>
              </w:rPr>
              <w:t>. The Placement Agent and its officers, directors, employees, agents and affiliates (collectively, the “</w:t>
            </w:r>
            <w:r>
              <w:rPr>
                <w:rFonts w:ascii="Times New Roman" w:hAnsi="Times New Roman"/>
                <w:b/>
                <w:sz w:val="20"/>
              </w:rPr>
              <w:t>Agent Parties</w:t>
            </w:r>
            <w:r>
              <w:rPr>
                <w:rFonts w:ascii="Times New Roman" w:hAnsi="Times New Roman"/>
                <w:sz w:val="20"/>
              </w:rPr>
              <w:t xml:space="preserve">”) may rely on each representation and warranty of the Company and the Investor made herein or pursuant to the terms hereof (including, without limitation, in any officer’s certificate delivered pursuant to the terms hereof) with the same force and effect as if such representation or warranty were made directly to the Agent Parties. The Agent Parties shall be a third party beneficiary to this Subscription Agreement to the extent provided in this </w:t>
            </w:r>
            <w:r>
              <w:rPr>
                <w:rFonts w:ascii="Times New Roman" w:hAnsi="Times New Roman"/>
                <w:sz w:val="20"/>
                <w:u w:val="single"/>
              </w:rPr>
              <w:t>Section 21</w:t>
            </w:r>
            <w:r>
              <w:rPr>
                <w:rFonts w:ascii="Times New Roman" w:hAnsi="Times New Roman"/>
                <w:sz w:val="20"/>
              </w:rPr>
              <w:t xml:space="preserve">. </w:t>
            </w:r>
            <w:bookmarkStart w:id="148" w:name="z_Hlk212659599"/>
            <w:bookmarkEnd w:id="148"/>
            <w:r>
              <w:rPr>
                <w:rFonts w:ascii="Times New Roman" w:hAnsi="Times New Roman"/>
                <w:sz w:val="20"/>
              </w:rPr>
              <w:t>Each Investor agrees that the Placement Agent shall not have any liability (whether direct or indirect, in contract or tort or otherwise) to any Investor for or in connection with the Subscription, except for any such liability for losses, claims, damages or liabilities (or fees or expenses relating thereto) incurred by such Investor that are finally judicially determined to have resulted from the willful misconduct, fraud, bad faith or gross negligence of the Placement Agent.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9" w:name="z4670b3a7bd1a44439002de62e8fcfb2e"/>
      <w:bookmarkStart w:id="150" w:name="z4670b3a7bd1a44439002de62e8fcfb2e"/>
      <w:bookmarkEnd w:id="150"/>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20"/>
              </w:rPr>
            </w:pPr>
            <w:r>
              <w:rPr>
                <w:sz w:val="20"/>
              </w:rPr>
            </w:r>
          </w:p>
        </w:tc>
        <w:tc>
          <w:tcPr>
            <w:tcW w:w="2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22.</w:t>
            </w:r>
          </w:p>
        </w:tc>
        <w:tc>
          <w:tcPr>
            <w:tcW w:w="992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Severability</w:t>
            </w:r>
            <w:r>
              <w:rPr>
                <w:rFonts w:ascii="Times New Roman" w:hAnsi="Times New Roman"/>
                <w:sz w:val="20"/>
              </w:rPr>
              <w:t>. If any term or provision (in whole or in part) of this Subscription Agreement is invalid, illegal or unenforceable in any jurisdiction, such invalidity, illegality or unenforceability shall not affect any other term or provision of this Subscription Agreement or invalidate or render unenforceable such term or provision in any other jurisdiction.</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WITNESS WHEREOF, the Investor (for itself and, if applicable, on behalf of each Account) has executed this Subscription Agreement as of the date first written above.</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1" w:name="z71108e96e81c475e92c4a6a0e170087d"/>
      <w:bookmarkStart w:id="152" w:name="z71108e96e81c475e92c4a6a0e170087d"/>
      <w:bookmarkEnd w:id="152"/>
    </w:p>
    <w:tbl>
      <w:tblPr>
        <w:tblW w:w="3095" w:type="dxa"/>
        <w:jc w:val="left"/>
        <w:tblInd w:w="0" w:type="dxa"/>
        <w:tblLayout w:type="fixed"/>
        <w:tblCellMar>
          <w:top w:w="0" w:type="dxa"/>
          <w:left w:w="0" w:type="dxa"/>
          <w:bottom w:w="0" w:type="dxa"/>
          <w:right w:w="0" w:type="dxa"/>
        </w:tblCellMar>
      </w:tblPr>
      <w:tblGrid>
        <w:gridCol w:w="60"/>
        <w:gridCol w:w="2975"/>
        <w:gridCol w:w="60"/>
      </w:tblGrid>
      <w:tr>
        <w:trPr/>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Legal Name of Executing Investor: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3" w:name="z0970b6c8e3e34eb2b48daa2438909aa1"/>
      <w:bookmarkStart w:id="154" w:name="z0970b6c8e3e34eb2b48daa2438909aa1"/>
      <w:bookmarkEnd w:id="154"/>
    </w:p>
    <w:tbl>
      <w:tblPr>
        <w:tblW w:w="1374" w:type="dxa"/>
        <w:jc w:val="left"/>
        <w:tblInd w:w="0" w:type="dxa"/>
        <w:tblLayout w:type="fixed"/>
        <w:tblCellMar>
          <w:top w:w="0" w:type="dxa"/>
          <w:left w:w="0" w:type="dxa"/>
          <w:bottom w:w="0" w:type="dxa"/>
          <w:right w:w="0" w:type="dxa"/>
        </w:tblCellMar>
      </w:tblPr>
      <w:tblGrid>
        <w:gridCol w:w="60"/>
        <w:gridCol w:w="260"/>
        <w:gridCol w:w="525"/>
        <w:gridCol w:w="529"/>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5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Name:</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Subscription Agreement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55" w:name="z2fa30bff897d40dfa1068b602c8cca2a"/>
      <w:bookmarkStart w:id="156" w:name="z2fa30bff897d40dfa1068b602c8cca2a"/>
      <w:bookmarkEnd w:id="156"/>
    </w:p>
    <w:tbl>
      <w:tblPr>
        <w:tblW w:w="4929" w:type="dxa"/>
        <w:jc w:val="left"/>
        <w:tblInd w:w="0" w:type="dxa"/>
        <w:tblLayout w:type="fixed"/>
        <w:tblCellMar>
          <w:top w:w="0" w:type="dxa"/>
          <w:left w:w="0" w:type="dxa"/>
          <w:bottom w:w="0" w:type="dxa"/>
          <w:right w:w="0" w:type="dxa"/>
        </w:tblCellMar>
      </w:tblPr>
      <w:tblGrid>
        <w:gridCol w:w="2465"/>
        <w:gridCol w:w="529"/>
        <w:gridCol w:w="1875"/>
        <w:gridCol w:w="60"/>
      </w:tblGrid>
      <w:tr>
        <w:trPr/>
        <w:tc>
          <w:tcPr>
            <w:tcW w:w="24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ACCEPTED AND AGREED:</w:t>
            </w:r>
          </w:p>
        </w:tc>
        <w:tc>
          <w:tcPr>
            <w:tcW w:w="24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Opendoor Technologies Inc.</w:t>
            </w:r>
          </w:p>
        </w:tc>
        <w:tc>
          <w:tcPr>
            <w:tcW w:w="6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By</w:t>
            </w:r>
          </w:p>
        </w:tc>
        <w:tc>
          <w:tcPr>
            <w:tcW w:w="18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87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87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Subscription Agreement</w:t>
      </w:r>
      <w:r>
        <w:rPr>
          <w:rFonts w:ascii="Times New Roman" w:hAnsi="Times New Roman"/>
          <w:color w:val="000000"/>
          <w:sz w:val="20"/>
        </w:rPr>
        <w:t>]</w:t>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57" w:name="ef20080105_ex10-2.htm"/>
      <w:bookmarkStart w:id="158" w:name="ksef20080105_ex102"/>
      <w:bookmarkStart w:id="159" w:name="ef20080105_ex10-2.htm"/>
      <w:bookmarkStart w:id="160" w:name="ksef20080105_ex102"/>
      <w:bookmarkEnd w:id="159"/>
      <w:bookmarkEnd w:id="16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1" w:name="zd17f623ed809401680acdd3c129bcdc4"/>
      <w:bookmarkStart w:id="162" w:name="zd17f623ed809401680acdd3c129bcdc4"/>
      <w:bookmarkEnd w:id="162"/>
    </w:p>
    <w:tbl>
      <w:tblPr>
        <w:tblW w:w="4525" w:type="dxa"/>
        <w:jc w:val="left"/>
        <w:tblInd w:w="0" w:type="dxa"/>
        <w:tblLayout w:type="fixed"/>
        <w:tblCellMar>
          <w:top w:w="0" w:type="dxa"/>
          <w:left w:w="0" w:type="dxa"/>
          <w:bottom w:w="0" w:type="dxa"/>
          <w:right w:w="0" w:type="dxa"/>
        </w:tblCellMar>
      </w:tblPr>
      <w:tblGrid>
        <w:gridCol w:w="665"/>
        <w:gridCol w:w="3860"/>
      </w:tblGrid>
      <w:tr>
        <w:trPr/>
        <w:tc>
          <w:tcPr>
            <w:tcW w:w="665" w:type="dxa"/>
            <w:tcBorders/>
            <w:vAlign w:val="center"/>
          </w:tcPr>
          <w:p>
            <w:pPr>
              <w:pStyle w:val="TableContents"/>
              <w:bidi w:val="0"/>
              <w:spacing w:before="0" w:after="0"/>
              <w:jc w:val="left"/>
              <w:rPr>
                <w:b/>
              </w:rPr>
            </w:pPr>
            <w:bookmarkStart w:id="163" w:name="z_Hlk236735301"/>
            <w:bookmarkEnd w:id="163"/>
            <w:r>
              <w:rPr>
                <w:b/>
              </w:rPr>
              <w:t>To:</w:t>
            </w:r>
          </w:p>
        </w:tc>
        <w:tc>
          <w:tcPr>
            <w:tcW w:w="3860" w:type="dxa"/>
            <w:tcBorders/>
            <w:vAlign w:val="center"/>
          </w:tcPr>
          <w:p>
            <w:pPr>
              <w:pStyle w:val="TableContents"/>
              <w:bidi w:val="0"/>
              <w:spacing w:before="0" w:after="0"/>
              <w:jc w:val="left"/>
              <w:rPr/>
            </w:pPr>
            <w:r>
              <w:rPr/>
              <w:t>Opendoor Technologies Inc.</w:t>
            </w:r>
          </w:p>
          <w:p>
            <w:pPr>
              <w:pStyle w:val="TableContents"/>
              <w:bidi w:val="0"/>
              <w:spacing w:before="0" w:after="0"/>
              <w:jc w:val="left"/>
              <w:rPr/>
            </w:pPr>
            <w:r>
              <w:rPr/>
              <w:t>1295 West Washington Street, Suite 115</w:t>
            </w:r>
          </w:p>
          <w:p>
            <w:pPr>
              <w:pStyle w:val="TableContents"/>
              <w:bidi w:val="0"/>
              <w:spacing w:before="0" w:after="0"/>
              <w:jc w:val="left"/>
              <w:rPr/>
            </w:pPr>
            <w:r>
              <w:rPr/>
              <w:t>Tempe, AZ, 85288</w:t>
            </w:r>
          </w:p>
        </w:tc>
      </w:tr>
      <w:tr>
        <w:trPr/>
        <w:tc>
          <w:tcPr>
            <w:tcW w:w="66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left"/>
              <w:rPr>
                <w:b/>
              </w:rPr>
            </w:pPr>
            <w:r>
              <w:rPr>
                <w:b/>
              </w:rPr>
              <w:t>From:</w:t>
            </w:r>
          </w:p>
        </w:tc>
        <w:tc>
          <w:tcPr>
            <w:tcW w:w="3860" w:type="dxa"/>
            <w:tcBorders/>
            <w:vAlign w:val="center"/>
          </w:tcPr>
          <w:p>
            <w:pPr>
              <w:pStyle w:val="TableContents"/>
              <w:bidi w:val="0"/>
              <w:spacing w:before="0" w:after="0"/>
              <w:jc w:val="left"/>
              <w:rPr/>
            </w:pPr>
            <w:r>
              <w:rPr/>
              <w:t>[</w:t>
            </w:r>
            <w:r>
              <w:rPr>
                <w:i/>
              </w:rPr>
              <w:t>Dealer</w:t>
            </w:r>
            <w:r>
              <w:rPr/>
              <w:t>]</w:t>
            </w:r>
          </w:p>
        </w:tc>
      </w:tr>
      <w:tr>
        <w:trPr/>
        <w:tc>
          <w:tcPr>
            <w:tcW w:w="66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left"/>
              <w:rPr>
                <w:b/>
              </w:rPr>
            </w:pPr>
            <w:r>
              <w:rPr>
                <w:b/>
              </w:rPr>
              <w:t>Re:</w:t>
            </w:r>
          </w:p>
        </w:tc>
        <w:tc>
          <w:tcPr>
            <w:tcW w:w="3860" w:type="dxa"/>
            <w:tcBorders/>
            <w:vAlign w:val="center"/>
          </w:tcPr>
          <w:p>
            <w:pPr>
              <w:pStyle w:val="TableContents"/>
              <w:bidi w:val="0"/>
              <w:spacing w:before="0" w:after="0"/>
              <w:jc w:val="left"/>
              <w:rPr/>
            </w:pPr>
            <w:r>
              <w:rPr/>
              <w:t>Capped Call Transaction</w:t>
            </w:r>
          </w:p>
        </w:tc>
      </w:tr>
      <w:tr>
        <w:trPr/>
        <w:tc>
          <w:tcPr>
            <w:tcW w:w="66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left"/>
              <w:rPr>
                <w:b/>
              </w:rPr>
            </w:pPr>
            <w:r>
              <w:rPr>
                <w:b/>
              </w:rPr>
              <w:t>Date:</w:t>
            </w:r>
          </w:p>
        </w:tc>
        <w:tc>
          <w:tcPr>
            <w:tcW w:w="3860" w:type="dxa"/>
            <w:tcBorders/>
            <w:vAlign w:val="center"/>
          </w:tcPr>
          <w:p>
            <w:pPr>
              <w:pStyle w:val="TableContents"/>
              <w:bidi w:val="0"/>
              <w:spacing w:before="0" w:after="0"/>
              <w:jc w:val="left"/>
              <w:rPr/>
            </w:pPr>
            <w:r>
              <w:rPr/>
              <w:t>August 12, 2026</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purpose of this communication (this “</w:t>
      </w:r>
      <w:r>
        <w:rPr>
          <w:rFonts w:ascii="Times New Roman" w:hAnsi="Times New Roman"/>
          <w:b/>
          <w:color w:val="000000"/>
          <w:sz w:val="20"/>
        </w:rPr>
        <w:t>Confirmation</w:t>
      </w:r>
      <w:r>
        <w:rPr>
          <w:rFonts w:ascii="Times New Roman" w:hAnsi="Times New Roman"/>
          <w:color w:val="000000"/>
          <w:sz w:val="20"/>
        </w:rPr>
        <w:t>”) is to set forth the terms and conditions of the above-referenced transaction entered into on the Trade Date specified below (the “</w:t>
      </w:r>
      <w:r>
        <w:rPr>
          <w:rFonts w:ascii="Times New Roman" w:hAnsi="Times New Roman"/>
          <w:b/>
          <w:color w:val="000000"/>
          <w:sz w:val="20"/>
        </w:rPr>
        <w:t>Transaction</w:t>
      </w:r>
      <w:r>
        <w:rPr>
          <w:rFonts w:ascii="Times New Roman" w:hAnsi="Times New Roman"/>
          <w:color w:val="000000"/>
          <w:sz w:val="20"/>
        </w:rPr>
        <w:t>”) between [</w:t>
      </w:r>
      <w:r>
        <w:rPr>
          <w:rFonts w:ascii="Times New Roman" w:hAnsi="Times New Roman"/>
          <w:i/>
          <w:color w:val="000000"/>
          <w:sz w:val="20"/>
        </w:rPr>
        <w:t>Dealer</w:t>
      </w:r>
      <w:r>
        <w:rPr>
          <w:rFonts w:ascii="Times New Roman" w:hAnsi="Times New Roman"/>
          <w:color w:val="000000"/>
          <w:sz w:val="20"/>
        </w:rPr>
        <w:t>] (“</w:t>
      </w:r>
      <w:r>
        <w:rPr>
          <w:rFonts w:ascii="Times New Roman" w:hAnsi="Times New Roman"/>
          <w:b/>
          <w:color w:val="000000"/>
          <w:sz w:val="20"/>
        </w:rPr>
        <w:t>Dealer</w:t>
      </w:r>
      <w:r>
        <w:rPr>
          <w:rFonts w:ascii="Times New Roman" w:hAnsi="Times New Roman"/>
          <w:color w:val="000000"/>
          <w:sz w:val="20"/>
        </w:rPr>
        <w:t>”)[, represented by [</w:t>
      </w:r>
      <w:r>
        <w:rPr>
          <w:rFonts w:ascii="Times New Roman" w:hAnsi="Times New Roman"/>
          <w:i/>
          <w:color w:val="000000"/>
          <w:sz w:val="20"/>
        </w:rPr>
        <w:t>Agent</w:t>
      </w:r>
      <w:r>
        <w:rPr>
          <w:rFonts w:ascii="Times New Roman" w:hAnsi="Times New Roman"/>
          <w:color w:val="000000"/>
          <w:sz w:val="20"/>
        </w:rPr>
        <w:t>] (“</w:t>
      </w:r>
      <w:r>
        <w:rPr>
          <w:rFonts w:ascii="Times New Roman" w:hAnsi="Times New Roman"/>
          <w:b/>
          <w:color w:val="000000"/>
          <w:sz w:val="20"/>
        </w:rPr>
        <w:t>Agent</w:t>
      </w:r>
      <w:r>
        <w:rPr>
          <w:rFonts w:ascii="Times New Roman" w:hAnsi="Times New Roman"/>
          <w:color w:val="000000"/>
          <w:sz w:val="20"/>
        </w:rPr>
        <w:t>”) as its agent,] and Opendoor Technologies Inc. (“</w:t>
      </w:r>
      <w:r>
        <w:rPr>
          <w:rFonts w:ascii="Times New Roman" w:hAnsi="Times New Roman"/>
          <w:b/>
          <w:color w:val="000000"/>
          <w:sz w:val="20"/>
        </w:rPr>
        <w:t>Counterparty</w:t>
      </w:r>
      <w:r>
        <w:rPr>
          <w:rFonts w:ascii="Times New Roman" w:hAnsi="Times New Roman"/>
          <w:color w:val="000000"/>
          <w:sz w:val="20"/>
        </w:rPr>
        <w:t>”).  This communication constitutes a “</w:t>
      </w:r>
      <w:bookmarkStart w:id="164" w:name="ignore1"/>
      <w:bookmarkEnd w:id="164"/>
      <w:r>
        <w:rPr>
          <w:rFonts w:ascii="Times New Roman" w:hAnsi="Times New Roman"/>
          <w:color w:val="000000"/>
          <w:sz w:val="20"/>
        </w:rPr>
        <w:t>Confirmation” as referred to in the ISDA 2002 Master Agreement specified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 This Confirmation is subject to, and incorporates, the definitions and provisions of the 2006 ISDA Definitions (the “</w:t>
      </w:r>
      <w:r>
        <w:rPr>
          <w:rFonts w:ascii="Times New Roman" w:hAnsi="Times New Roman"/>
          <w:b/>
          <w:color w:val="000000"/>
          <w:sz w:val="20"/>
        </w:rPr>
        <w:t>2006 Definitions</w:t>
      </w:r>
      <w:r>
        <w:rPr>
          <w:rFonts w:ascii="Times New Roman" w:hAnsi="Times New Roman"/>
          <w:color w:val="000000"/>
          <w:sz w:val="20"/>
        </w:rPr>
        <w:t>”) and the definitions and provisions of the 2002 ISDA Equity Derivatives Definitions (the “</w:t>
      </w:r>
      <w:r>
        <w:rPr>
          <w:rFonts w:ascii="Times New Roman" w:hAnsi="Times New Roman"/>
          <w:b/>
          <w:color w:val="000000"/>
          <w:sz w:val="20"/>
        </w:rPr>
        <w:t>Equity Definitions</w:t>
      </w:r>
      <w:r>
        <w:rPr>
          <w:rFonts w:ascii="Times New Roman" w:hAnsi="Times New Roman"/>
          <w:color w:val="000000"/>
          <w:sz w:val="20"/>
        </w:rPr>
        <w:t>”, and together with the 2006 Definitions, the “</w:t>
      </w:r>
      <w:r>
        <w:rPr>
          <w:rFonts w:ascii="Times New Roman" w:hAnsi="Times New Roman"/>
          <w:b/>
          <w:color w:val="000000"/>
          <w:sz w:val="20"/>
        </w:rPr>
        <w:t>Definitions</w:t>
      </w:r>
      <w:r>
        <w:rPr>
          <w:rFonts w:ascii="Times New Roman" w:hAnsi="Times New Roman"/>
          <w:color w:val="000000"/>
          <w:sz w:val="20"/>
        </w:rPr>
        <w:t>”), in each case, as published by the International Swaps and Derivatives Association, Inc. (“</w:t>
      </w:r>
      <w:r>
        <w:rPr>
          <w:rFonts w:ascii="Times New Roman" w:hAnsi="Times New Roman"/>
          <w:b/>
          <w:color w:val="000000"/>
          <w:sz w:val="20"/>
        </w:rPr>
        <w:t>ISDA</w:t>
      </w:r>
      <w:r>
        <w:rPr>
          <w:rFonts w:ascii="Times New Roman" w:hAnsi="Times New Roman"/>
          <w:color w:val="000000"/>
          <w:sz w:val="20"/>
        </w:rPr>
        <w:t>”).  In the event of any inconsistency between the 2006 Definitions and the Equity Definitions, the Equity Definitions will govern and in the event of any inconsistency between terms defined in the Equity Definitions and this Confirmation, this Confirmation shall govern.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 w:hAnsi="Times New Roman"/>
          <w:b/>
          <w:color w:val="000000"/>
          <w:sz w:val="20"/>
        </w:rPr>
        <w:t>Agreement</w:t>
      </w:r>
      <w:r>
        <w:rPr>
          <w:rFonts w:ascii="Times New Roman" w:hAnsi="Times New Roman"/>
          <w:color w:val="000000"/>
          <w:sz w:val="20"/>
        </w:rPr>
        <w:t>”) in the form of the ISDA 2002 Master Agreement as if Dealer and Counterparty had executed an agreement in such form on the Trade Date (but without any Schedule except for (i) the election of the laws of the State of New York as the governing law (without reference to choice of law doctrine), and (ii) the election that the “Cross-Default” provisions of Section 5(a)(vi) of the Agreement shall apply to Dealer with (a) a “Threshold Amount” of 3% of the shareholders’ equity of [Dealer][Dealer’s ultimate parent] on the Trade Date, (b) “Specified Indebtedness” having the meaning set forth in Section 14 of the Agreement, except that it shall not include any obligation in respect of deposits received in the ordinary course of Dealer’s banking business, (c) the phrase “, or becoming capable at such time of being declared,” being deleted from clause (1) of such Section 5(a)(vi) of the Agreement, and (d) the following sentence being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2. The Transaction constitutes a Share Option Transaction for purposes of the Equity Definitions.  The terms of the particular Transaction to which this Confirmation relates are as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u w:val="single"/>
        </w:rPr>
        <w:t>General Terms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5" w:name="z1f2323c1c5c642da9962bb48c46ff76b"/>
      <w:bookmarkStart w:id="166" w:name="z1f2323c1c5c642da9962bb48c46ff76b"/>
      <w:bookmarkEnd w:id="166"/>
    </w:p>
    <w:tbl>
      <w:tblPr>
        <w:tblW w:w="10205" w:type="dxa"/>
        <w:jc w:val="left"/>
        <w:tblInd w:w="0" w:type="dxa"/>
        <w:tblLayout w:type="fixed"/>
        <w:tblCellMar>
          <w:top w:w="0" w:type="dxa"/>
          <w:left w:w="0" w:type="dxa"/>
          <w:bottom w:w="0" w:type="dxa"/>
          <w:right w:w="0" w:type="dxa"/>
        </w:tblCellMar>
      </w:tblPr>
      <w:tblGrid>
        <w:gridCol w:w="60"/>
        <w:gridCol w:w="1301"/>
        <w:gridCol w:w="8844"/>
      </w:tblGrid>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Trade Date:</w:t>
            </w:r>
          </w:p>
        </w:tc>
        <w:tc>
          <w:tcPr>
            <w:tcW w:w="8844" w:type="dxa"/>
            <w:tcBorders/>
            <w:vAlign w:val="center"/>
          </w:tcPr>
          <w:p>
            <w:pPr>
              <w:pStyle w:val="TableContents"/>
              <w:bidi w:val="0"/>
              <w:spacing w:before="0" w:after="0"/>
              <w:jc w:val="left"/>
              <w:rPr/>
            </w:pPr>
            <w:r>
              <w:rPr/>
              <w:t>August 12, 2026</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Effective Date:</w:t>
            </w:r>
          </w:p>
        </w:tc>
        <w:tc>
          <w:tcPr>
            <w:tcW w:w="8844" w:type="dxa"/>
            <w:tcBorders/>
            <w:vAlign w:val="center"/>
          </w:tcPr>
          <w:p>
            <w:pPr>
              <w:pStyle w:val="TableContents"/>
              <w:bidi w:val="0"/>
              <w:spacing w:before="0" w:after="0"/>
              <w:jc w:val="left"/>
              <w:rPr/>
            </w:pPr>
            <w:r>
              <w:rPr/>
              <w:t>August 19, 2026, or such other date as agreed by the parties in writing.</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Components:</w:t>
            </w:r>
          </w:p>
        </w:tc>
        <w:tc>
          <w:tcPr>
            <w:tcW w:w="8844" w:type="dxa"/>
            <w:tcBorders/>
            <w:vAlign w:val="center"/>
          </w:tcPr>
          <w:p>
            <w:pPr>
              <w:pStyle w:val="TableContents"/>
              <w:bidi w:val="0"/>
              <w:spacing w:before="0" w:after="0"/>
              <w:jc w:val="left"/>
              <w:rPr/>
            </w:pPr>
            <w:r>
              <w:rPr/>
              <w:t xml:space="preserve">The Transaction will be divided into individual Components, each with the terms set forth in this Confirmation, and, in particular, with the Number of Options and Expiration Date set forth in </w:t>
            </w:r>
            <w:r>
              <w:rPr>
                <w:u w:val="single"/>
              </w:rPr>
              <w:t>Annex A</w:t>
            </w:r>
            <w:r>
              <w:rPr/>
              <w:t xml:space="preserve"> to this Confirmation.  The exercise, valuation and settlement of the Transaction will be effected separately for each Component as if each Component were a separate Transaction under the Agreement.</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Option Style:</w:t>
            </w:r>
          </w:p>
        </w:tc>
        <w:tc>
          <w:tcPr>
            <w:tcW w:w="8844" w:type="dxa"/>
            <w:tcBorders/>
            <w:vAlign w:val="center"/>
          </w:tcPr>
          <w:p>
            <w:pPr>
              <w:pStyle w:val="TableContents"/>
              <w:bidi w:val="0"/>
              <w:spacing w:before="0" w:after="0"/>
              <w:jc w:val="left"/>
              <w:rPr/>
            </w:pPr>
            <w:r>
              <w:rPr/>
              <w:t>“</w:t>
            </w:r>
            <w:r>
              <w:rPr/>
              <w:t>European”, as described under “Procedures for Exercise” below.</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Option Type:</w:t>
            </w:r>
          </w:p>
        </w:tc>
        <w:tc>
          <w:tcPr>
            <w:tcW w:w="8844" w:type="dxa"/>
            <w:tcBorders/>
            <w:vAlign w:val="center"/>
          </w:tcPr>
          <w:p>
            <w:pPr>
              <w:pStyle w:val="TableContents"/>
              <w:bidi w:val="0"/>
              <w:spacing w:before="0" w:after="0"/>
              <w:jc w:val="left"/>
              <w:rPr/>
            </w:pPr>
            <w:r>
              <w:rPr/>
              <w:t>Call</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Seller:</w:t>
            </w:r>
          </w:p>
        </w:tc>
        <w:tc>
          <w:tcPr>
            <w:tcW w:w="8844" w:type="dxa"/>
            <w:tcBorders/>
            <w:vAlign w:val="center"/>
          </w:tcPr>
          <w:p>
            <w:pPr>
              <w:pStyle w:val="TableContents"/>
              <w:bidi w:val="0"/>
              <w:spacing w:before="0" w:after="0"/>
              <w:jc w:val="left"/>
              <w:rPr/>
            </w:pPr>
            <w:r>
              <w:rPr/>
              <w:t>Dealer</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Buyer:</w:t>
            </w:r>
          </w:p>
        </w:tc>
        <w:tc>
          <w:tcPr>
            <w:tcW w:w="8844" w:type="dxa"/>
            <w:tcBorders/>
            <w:vAlign w:val="center"/>
          </w:tcPr>
          <w:p>
            <w:pPr>
              <w:pStyle w:val="TableContents"/>
              <w:bidi w:val="0"/>
              <w:spacing w:before="0" w:after="0"/>
              <w:jc w:val="left"/>
              <w:rPr/>
            </w:pPr>
            <w:r>
              <w:rPr/>
              <w:t>Counterparty</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Shares:</w:t>
            </w:r>
          </w:p>
        </w:tc>
        <w:tc>
          <w:tcPr>
            <w:tcW w:w="8844" w:type="dxa"/>
            <w:tcBorders/>
            <w:vAlign w:val="center"/>
          </w:tcPr>
          <w:p>
            <w:pPr>
              <w:pStyle w:val="TableContents"/>
              <w:bidi w:val="0"/>
              <w:spacing w:before="0" w:after="0"/>
              <w:jc w:val="left"/>
              <w:rPr/>
            </w:pPr>
            <w:r>
              <w:rPr/>
              <w:t>The common stock of Counterparty, par value USD 0.0001 per share (Ticker Symbol: “OPEN”).</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Number of Options:</w:t>
            </w:r>
          </w:p>
        </w:tc>
        <w:tc>
          <w:tcPr>
            <w:tcW w:w="8844" w:type="dxa"/>
            <w:tcBorders/>
            <w:vAlign w:val="center"/>
          </w:tcPr>
          <w:p>
            <w:pPr>
              <w:pStyle w:val="TableContents"/>
              <w:bidi w:val="0"/>
              <w:spacing w:before="0" w:after="0"/>
              <w:jc w:val="left"/>
              <w:rPr/>
            </w:pPr>
            <w:r>
              <w:rPr/>
              <w:t xml:space="preserve">For each Component, as provided in </w:t>
            </w:r>
            <w:r>
              <w:rPr>
                <w:u w:val="single"/>
              </w:rPr>
              <w:t>Annex A</w:t>
            </w:r>
            <w:r>
              <w:rPr/>
              <w:t xml:space="preserve"> to this Confirmation.</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Option Entitlement:</w:t>
            </w:r>
          </w:p>
        </w:tc>
        <w:tc>
          <w:tcPr>
            <w:tcW w:w="8844" w:type="dxa"/>
            <w:tcBorders/>
            <w:vAlign w:val="center"/>
          </w:tcPr>
          <w:p>
            <w:pPr>
              <w:pStyle w:val="TableContents"/>
              <w:bidi w:val="0"/>
              <w:spacing w:before="0" w:after="0"/>
              <w:jc w:val="left"/>
              <w:rPr/>
            </w:pPr>
            <w:r>
              <w:rPr/>
              <w:t>One Share per Option</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Strike Price:</w:t>
            </w:r>
          </w:p>
        </w:tc>
        <w:tc>
          <w:tcPr>
            <w:tcW w:w="8844" w:type="dxa"/>
            <w:tcBorders/>
            <w:vAlign w:val="center"/>
          </w:tcPr>
          <w:p>
            <w:pPr>
              <w:pStyle w:val="TableContents"/>
              <w:bidi w:val="0"/>
              <w:spacing w:before="0" w:after="0"/>
              <w:jc w:val="left"/>
              <w:rPr/>
            </w:pPr>
            <w:r>
              <w:rPr/>
              <w:t>USD 4.7115</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Cap Price:</w:t>
            </w:r>
          </w:p>
        </w:tc>
        <w:tc>
          <w:tcPr>
            <w:tcW w:w="8844" w:type="dxa"/>
            <w:tcBorders/>
            <w:vAlign w:val="center"/>
          </w:tcPr>
          <w:p>
            <w:pPr>
              <w:pStyle w:val="TableContents"/>
              <w:bidi w:val="0"/>
              <w:spacing w:before="0" w:after="0"/>
              <w:jc w:val="left"/>
              <w:rPr/>
            </w:pPr>
            <w:r>
              <w:rPr/>
              <w:t xml:space="preserve">USD 6.9800; </w:t>
            </w:r>
            <w:r>
              <w:rPr>
                <w:i/>
              </w:rPr>
              <w:t>provided</w:t>
            </w:r>
            <w:r>
              <w:rPr/>
              <w:t xml:space="preserve"> that in no event shall the Cap Price be reduced to an amount less than the Strike Price in connection with any adjustment by the Calculation Agent under this Confirmation.</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Number of Shares:</w:t>
            </w:r>
          </w:p>
        </w:tc>
        <w:tc>
          <w:tcPr>
            <w:tcW w:w="8844" w:type="dxa"/>
            <w:tcBorders/>
            <w:vAlign w:val="center"/>
          </w:tcPr>
          <w:p>
            <w:pPr>
              <w:pStyle w:val="TableContents"/>
              <w:bidi w:val="0"/>
              <w:spacing w:before="0" w:after="0"/>
              <w:jc w:val="left"/>
              <w:rPr/>
            </w:pPr>
            <w:r>
              <w:rPr/>
              <w:t>As of any date, a number of Shares equal to the product of (i) the Number of Options and (ii) the Option Entitlement.</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Premium:</w:t>
            </w:r>
          </w:p>
        </w:tc>
        <w:tc>
          <w:tcPr>
            <w:tcW w:w="8844" w:type="dxa"/>
            <w:tcBorders/>
            <w:vAlign w:val="center"/>
          </w:tcPr>
          <w:p>
            <w:pPr>
              <w:pStyle w:val="TableContents"/>
              <w:bidi w:val="0"/>
              <w:spacing w:before="0" w:after="0"/>
              <w:jc w:val="left"/>
              <w:rPr/>
            </w:pPr>
            <w:r>
              <w:rPr/>
              <w:t>USD [_________]; Dealer and Counterparty hereby agree that notwithstanding anything to the contrary herein or in the Agreement, following the payment of the Premium, in the event that (a) an Early Termination Date (whether as a result of an Event of Default or a Termination Event) (other than an Event of Default arising under Section 5(a)(ii) or 5(a)(iv) of the Agreement that is within Counterparty’s control) occurs or is designated with respect to any Transaction and, as a result, Counterparty owes to Dealer the amount calculated under Section 6(d) and Section 6(e) or otherwise under the Agreement (calculated as if the Transactions terminated on such Early Termination Date were the sole Transactions under the Agreement) or (b) Counterparty owes to Dealer, pursuant to Sections 12.2, 12.3, 12.6, 12.7, 12.8 or 12.9 of the Equity Definitions or otherwise under the Equity Definitions, an amount calculated under Section 12.8 of the Equity Definitions, such amount shall be deemed to be zero.</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Premium Payment Date:</w:t>
            </w:r>
          </w:p>
        </w:tc>
        <w:tc>
          <w:tcPr>
            <w:tcW w:w="8844" w:type="dxa"/>
            <w:tcBorders/>
            <w:vAlign w:val="center"/>
          </w:tcPr>
          <w:p>
            <w:pPr>
              <w:pStyle w:val="TableContents"/>
              <w:bidi w:val="0"/>
              <w:spacing w:before="0" w:after="0"/>
              <w:jc w:val="left"/>
              <w:rPr/>
            </w:pPr>
            <w:r>
              <w:rPr/>
              <w:t>The Effective Date</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left"/>
              <w:rPr/>
            </w:pPr>
            <w:r>
              <w:rPr/>
              <w:t>Exchange:</w:t>
            </w:r>
          </w:p>
        </w:tc>
        <w:tc>
          <w:tcPr>
            <w:tcW w:w="8844" w:type="dxa"/>
            <w:tcBorders/>
            <w:vAlign w:val="center"/>
          </w:tcPr>
          <w:p>
            <w:pPr>
              <w:pStyle w:val="TableContents"/>
              <w:bidi w:val="0"/>
              <w:spacing w:before="0" w:after="0"/>
              <w:jc w:val="left"/>
              <w:rPr/>
            </w:pPr>
            <w:r>
              <w:rPr/>
              <w:t>The Nasdaq Global Select Market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7" w:name="z161b27fd0b544c8588e0402567fa05de"/>
      <w:bookmarkStart w:id="168" w:name="z161b27fd0b544c8588e0402567fa05de"/>
      <w:bookmarkEnd w:id="168"/>
    </w:p>
    <w:tbl>
      <w:tblPr>
        <w:tblW w:w="10205" w:type="dxa"/>
        <w:jc w:val="left"/>
        <w:tblInd w:w="0" w:type="dxa"/>
        <w:tblLayout w:type="fixed"/>
        <w:tblCellMar>
          <w:top w:w="0" w:type="dxa"/>
          <w:left w:w="0" w:type="dxa"/>
          <w:bottom w:w="0" w:type="dxa"/>
          <w:right w:w="0" w:type="dxa"/>
        </w:tblCellMar>
      </w:tblPr>
      <w:tblGrid>
        <w:gridCol w:w="75"/>
        <w:gridCol w:w="1212"/>
        <w:gridCol w:w="8918"/>
      </w:tblGrid>
      <w:tr>
        <w:trPr/>
        <w:tc>
          <w:tcPr>
            <w:tcW w:w="75"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0"/>
              <w:jc w:val="left"/>
              <w:rPr/>
            </w:pPr>
            <w:r>
              <w:rPr/>
              <w:t>Related Exchange:</w:t>
            </w:r>
          </w:p>
        </w:tc>
        <w:tc>
          <w:tcPr>
            <w:tcW w:w="8918" w:type="dxa"/>
            <w:tcBorders/>
            <w:vAlign w:val="center"/>
          </w:tcPr>
          <w:p>
            <w:pPr>
              <w:pStyle w:val="TableContents"/>
              <w:bidi w:val="0"/>
              <w:spacing w:before="0" w:after="0"/>
              <w:jc w:val="left"/>
              <w:rPr/>
            </w:pPr>
            <w:r>
              <w:rPr/>
              <w:t xml:space="preserve">All Exchanges; </w:t>
            </w:r>
            <w:r>
              <w:rPr>
                <w:i/>
              </w:rPr>
              <w:t>provided</w:t>
            </w:r>
            <w:r>
              <w:rPr/>
              <w:t xml:space="preserve"> that Section 1.26 of the Equity Definitions shall be amended to add the words “United States” before the word “exchange” in the tenth line of such Section.</w:t>
            </w:r>
          </w:p>
        </w:tc>
      </w:tr>
      <w:tr>
        <w:trPr/>
        <w:tc>
          <w:tcPr>
            <w:tcW w:w="1287" w:type="dxa"/>
            <w:gridSpan w:val="2"/>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r>
      <w:tr>
        <w:trPr/>
        <w:tc>
          <w:tcPr>
            <w:tcW w:w="1287" w:type="dxa"/>
            <w:gridSpan w:val="2"/>
            <w:tcBorders/>
            <w:vAlign w:val="center"/>
          </w:tcPr>
          <w:p>
            <w:pPr>
              <w:pStyle w:val="TableContents"/>
              <w:bidi w:val="0"/>
              <w:spacing w:before="0" w:after="0"/>
              <w:jc w:val="left"/>
              <w:rPr/>
            </w:pPr>
            <w:r>
              <w:rPr>
                <w:i/>
                <w:u w:val="single"/>
              </w:rPr>
              <w:t>Procedures for Exercise</w:t>
            </w:r>
            <w:r>
              <w:rPr/>
              <w:t>:</w:t>
            </w:r>
          </w:p>
        </w:tc>
        <w:tc>
          <w:tcPr>
            <w:tcW w:w="8918" w:type="dxa"/>
            <w:tcBorders/>
            <w:vAlign w:val="center"/>
          </w:tcPr>
          <w:p>
            <w:pPr>
              <w:pStyle w:val="TableContents"/>
              <w:bidi w:val="0"/>
              <w:spacing w:before="0" w:after="283"/>
              <w:jc w:val="left"/>
              <w:rPr/>
            </w:pPr>
            <w:r>
              <w:rPr/>
              <w:t> </w:t>
            </w:r>
          </w:p>
        </w:tc>
      </w:tr>
      <w:tr>
        <w:trPr/>
        <w:tc>
          <w:tcPr>
            <w:tcW w:w="1287" w:type="dxa"/>
            <w:gridSpan w:val="2"/>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0"/>
              <w:jc w:val="left"/>
              <w:rPr/>
            </w:pPr>
            <w:r>
              <w:rPr/>
              <w:t>Expiration Time:</w:t>
            </w:r>
          </w:p>
        </w:tc>
        <w:tc>
          <w:tcPr>
            <w:tcW w:w="8918" w:type="dxa"/>
            <w:tcBorders/>
            <w:vAlign w:val="center"/>
          </w:tcPr>
          <w:p>
            <w:pPr>
              <w:pStyle w:val="TableContents"/>
              <w:bidi w:val="0"/>
              <w:spacing w:before="0" w:after="0"/>
              <w:jc w:val="left"/>
              <w:rPr/>
            </w:pPr>
            <w:r>
              <w:rPr/>
              <w:t>The Valuation Time</w:t>
            </w:r>
          </w:p>
        </w:tc>
      </w:tr>
      <w:tr>
        <w:trPr/>
        <w:tc>
          <w:tcPr>
            <w:tcW w:w="75"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0"/>
              <w:jc w:val="left"/>
              <w:rPr/>
            </w:pPr>
            <w:r>
              <w:rPr/>
              <w:t>Expiration Date:</w:t>
            </w:r>
          </w:p>
        </w:tc>
        <w:tc>
          <w:tcPr>
            <w:tcW w:w="8918" w:type="dxa"/>
            <w:tcBorders/>
            <w:vAlign w:val="center"/>
          </w:tcPr>
          <w:p>
            <w:pPr>
              <w:pStyle w:val="TableContents"/>
              <w:bidi w:val="0"/>
              <w:spacing w:before="0" w:after="0"/>
              <w:jc w:val="left"/>
              <w:rPr/>
            </w:pPr>
            <w:r>
              <w:rPr/>
              <w:t xml:space="preserve">For any Component, as provided in </w:t>
            </w:r>
            <w:r>
              <w:rPr>
                <w:u w:val="single"/>
              </w:rPr>
              <w:t>Annex A</w:t>
            </w:r>
            <w:r>
              <w:rPr/>
              <w:t xml:space="preserve"> to this Confirmation (or, if such date is not a Scheduled Valid Day, the next following Scheduled Valid Day that is not already an Expiration Date for another Component); </w:t>
            </w:r>
            <w:r>
              <w:rPr>
                <w:i/>
              </w:rPr>
              <w:t>provided</w:t>
            </w:r>
            <w:r>
              <w:rPr/>
              <w:t xml:space="preserve"> that if that date is a Disrupted Day, the Expiration Date for such Component shall be the first succeeding Scheduled Valid Day that is not a Disrupted Day and is not or is not deemed to be an Expiration Date in respect of any other Component of the Transaction hereunder; and </w:t>
            </w:r>
            <w:r>
              <w:rPr>
                <w:i/>
              </w:rPr>
              <w:t>provided further</w:t>
            </w:r>
            <w:r>
              <w:rPr/>
              <w:t xml:space="preserve"> that in no event shall the Expiration Date be postponed to a date later than the Final Termination Date and, notwithstanding anything to the contrary in this Confirmation or the Equity Definitions, the Relevant Price for such Expiration Date that occurs on the Final Termination Date and is a Disrupted Day shall be the prevailing market value per Share determined by the Calculation Agent in a good faith and commercially reasonable manner. Notwithstanding the foregoing and anything to the contrary in the Equity Definitions, if a Market Disruption Event occurs on any Expiration Date, the Calculation Agent may determine in a good faith and commercially reasonable manner that such Expiration Date is a Disrupted Day only in part, in which case the Calculation Agent shall make commercially reasonable adjustments to the Number of Options for the relevant Component for which such day shall be the Expiration Date, shall designate the Scheduled Valid Day determined in the manner described in the immediately preceding sentence as the Expiration Date for the remaining Options for such Component and shall determine in good faith and a commercially reasonable manner the Relevant Price based on transactions in the Shares on such Disrupted Day taking into account the nature and duration of such Market Disruption Event on such day. Any Scheduled Valid Day on which, as of the date hereof, the Exchange is scheduled to close prior to its normal close of trading shall be deemed not to be a Scheduled Valid Day; if a closure of the Exchange prior to its normal close of trading on any Scheduled Valid Day is scheduled following the date hereof, then such Scheduled Valid Day shall be deemed to be a Disrupted Day in full</w:t>
            </w:r>
            <w:r>
              <w:rPr>
                <w:b/>
              </w:rPr>
              <w:t>.</w:t>
            </w:r>
            <w:r>
              <w:rPr/>
              <w:t xml:space="preserve"> Section 6.6 of the Equity Definitions shall not apply to any Valuation Date occurring on an Expiration Date.</w:t>
            </w:r>
          </w:p>
        </w:tc>
      </w:tr>
      <w:tr>
        <w:trPr/>
        <w:tc>
          <w:tcPr>
            <w:tcW w:w="75"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0"/>
              <w:jc w:val="left"/>
              <w:rPr/>
            </w:pPr>
            <w:r>
              <w:rPr/>
              <w:t>Final Termination Date:</w:t>
            </w:r>
          </w:p>
        </w:tc>
        <w:tc>
          <w:tcPr>
            <w:tcW w:w="8918" w:type="dxa"/>
            <w:tcBorders/>
            <w:vAlign w:val="center"/>
          </w:tcPr>
          <w:p>
            <w:pPr>
              <w:pStyle w:val="TableContents"/>
              <w:bidi w:val="0"/>
              <w:spacing w:before="0" w:after="0"/>
              <w:jc w:val="left"/>
              <w:rPr/>
            </w:pPr>
            <w:r>
              <w:rPr/>
              <w:t>November 6, 2030</w:t>
            </w:r>
          </w:p>
        </w:tc>
      </w:tr>
      <w:tr>
        <w:trPr/>
        <w:tc>
          <w:tcPr>
            <w:tcW w:w="75"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0"/>
              <w:jc w:val="left"/>
              <w:rPr/>
            </w:pPr>
            <w:r>
              <w:rPr/>
              <w:t>Automatic Exercise:</w:t>
            </w:r>
          </w:p>
        </w:tc>
        <w:tc>
          <w:tcPr>
            <w:tcW w:w="8918" w:type="dxa"/>
            <w:tcBorders/>
            <w:vAlign w:val="center"/>
          </w:tcPr>
          <w:p>
            <w:pPr>
              <w:pStyle w:val="TableContents"/>
              <w:bidi w:val="0"/>
              <w:spacing w:before="0" w:after="0"/>
              <w:jc w:val="left"/>
              <w:rPr/>
            </w:pPr>
            <w:r>
              <w:rPr/>
              <w:t>Applicable, which means that the Number of Options for the relevant Component will be deemed to be automatically exercised at the Expiration Time on the Expiration Date for such Component if at such time such Component is In-the-Money, unless Buyer notifies Seller (in writing) prior to the Expiration Time on such Expiration Date that it does not wish Automatic Exercise to occur with respect to such Component, in which case Automatic Exercise will not apply with respect to such Component.  “</w:t>
            </w:r>
            <w:r>
              <w:rPr>
                <w:b/>
              </w:rPr>
              <w:t>In-the-Money</w:t>
            </w:r>
            <w:r>
              <w:rPr/>
              <w:t>” means, in respect of any Component, that the Relevant Price on the Expiration Date for such Component is greater than the Strike Price for such Component</w:t>
            </w: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9" w:name="z80fef584319e4f94ba69740a1de9f10d"/>
      <w:bookmarkStart w:id="170" w:name="z80fef584319e4f94ba69740a1de9f10d"/>
      <w:bookmarkEnd w:id="170"/>
    </w:p>
    <w:tbl>
      <w:tblPr>
        <w:tblW w:w="10205" w:type="dxa"/>
        <w:jc w:val="left"/>
        <w:tblInd w:w="0" w:type="dxa"/>
        <w:tblLayout w:type="fixed"/>
        <w:tblCellMar>
          <w:top w:w="0" w:type="dxa"/>
          <w:left w:w="0" w:type="dxa"/>
          <w:bottom w:w="0" w:type="dxa"/>
          <w:right w:w="0" w:type="dxa"/>
        </w:tblCellMar>
      </w:tblPr>
      <w:tblGrid>
        <w:gridCol w:w="75"/>
        <w:gridCol w:w="1270"/>
        <w:gridCol w:w="8860"/>
      </w:tblGrid>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0"/>
              <w:jc w:val="left"/>
              <w:rPr/>
            </w:pPr>
            <w:r>
              <w:rPr/>
              <w:t>Valuation Time:</w:t>
            </w:r>
          </w:p>
        </w:tc>
        <w:tc>
          <w:tcPr>
            <w:tcW w:w="8860" w:type="dxa"/>
            <w:tcBorders/>
            <w:vAlign w:val="center"/>
          </w:tcPr>
          <w:p>
            <w:pPr>
              <w:pStyle w:val="TableContents"/>
              <w:bidi w:val="0"/>
              <w:spacing w:before="0" w:after="0"/>
              <w:jc w:val="left"/>
              <w:rPr/>
            </w:pPr>
            <w:r>
              <w:rPr/>
              <w:t xml:space="preserve">At the close of trading of the regular trading session on the Exchange; </w:t>
            </w:r>
            <w:r>
              <w:rPr>
                <w:i/>
              </w:rPr>
              <w:t>provided</w:t>
            </w:r>
            <w:r>
              <w:rPr/>
              <w:t xml:space="preserve"> that if the principal trading session is extended, the Calculation Agent shall determine the Valuation Time in a good faith and commercially reasonable manner.</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0"/>
              <w:jc w:val="left"/>
              <w:rPr/>
            </w:pPr>
            <w:r>
              <w:rPr/>
              <w:t>Valuation Date:</w:t>
            </w:r>
          </w:p>
        </w:tc>
        <w:tc>
          <w:tcPr>
            <w:tcW w:w="8860" w:type="dxa"/>
            <w:tcBorders/>
            <w:vAlign w:val="center"/>
          </w:tcPr>
          <w:p>
            <w:pPr>
              <w:pStyle w:val="TableContents"/>
              <w:bidi w:val="0"/>
              <w:spacing w:before="0" w:after="0"/>
              <w:jc w:val="left"/>
              <w:rPr/>
            </w:pPr>
            <w:r>
              <w:rPr/>
              <w:t>For any Component, the Expiration Date therefor.</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0"/>
              <w:jc w:val="left"/>
              <w:rPr/>
            </w:pPr>
            <w:r>
              <w:rPr/>
              <w:t>Market Disruption Event:</w:t>
            </w:r>
          </w:p>
        </w:tc>
        <w:tc>
          <w:tcPr>
            <w:tcW w:w="8860" w:type="dxa"/>
            <w:tcBorders/>
            <w:vAlign w:val="center"/>
          </w:tcPr>
          <w:p>
            <w:pPr>
              <w:pStyle w:val="TableContents"/>
              <w:bidi w:val="0"/>
              <w:spacing w:before="0" w:after="0"/>
              <w:jc w:val="left"/>
              <w:rPr/>
            </w:pPr>
            <w:r>
              <w:rPr/>
              <w:t>Section 6.3(a) of the Equity Definitions is hereby amended by deleting the words “during the one hour period that ends at the relevant Valuation Time, Latest Exercise Time, Knock-in Valuation Time or Knock-out Valuation Time, as the case may be,” in clause (ii) thereof.</w:t>
            </w:r>
          </w:p>
          <w:p>
            <w:pPr>
              <w:pStyle w:val="TableContents"/>
              <w:bidi w:val="0"/>
              <w:spacing w:before="0" w:after="0"/>
              <w:jc w:val="left"/>
              <w:rPr/>
            </w:pPr>
            <w:r>
              <w:rPr/>
            </w:r>
          </w:p>
          <w:p>
            <w:pPr>
              <w:pStyle w:val="TableContents"/>
              <w:bidi w:val="0"/>
              <w:spacing w:before="0" w:after="0"/>
              <w:jc w:val="left"/>
              <w:rPr/>
            </w:pPr>
            <w:r>
              <w:rPr/>
              <w:t>Section 6.3(d) of the Equity Definitions is hereby amended by deleting the remainder of the provision following the term “Scheduled Closing Time” in the fourth line thereof.</w:t>
            </w:r>
          </w:p>
        </w:tc>
      </w:tr>
      <w:tr>
        <w:trPr/>
        <w:tc>
          <w:tcPr>
            <w:tcW w:w="1345" w:type="dxa"/>
            <w:gridSpan w:val="2"/>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1345" w:type="dxa"/>
            <w:gridSpan w:val="2"/>
            <w:tcBorders/>
            <w:vAlign w:val="center"/>
          </w:tcPr>
          <w:p>
            <w:pPr>
              <w:pStyle w:val="TableContents"/>
              <w:bidi w:val="0"/>
              <w:spacing w:before="0" w:after="0"/>
              <w:jc w:val="left"/>
              <w:rPr/>
            </w:pPr>
            <w:r>
              <w:rPr>
                <w:i/>
                <w:u w:val="single"/>
              </w:rPr>
              <w:t>Settlement Terms</w:t>
            </w:r>
            <w:r>
              <w:rPr/>
              <w:t>:</w:t>
            </w:r>
          </w:p>
        </w:tc>
        <w:tc>
          <w:tcPr>
            <w:tcW w:w="8860" w:type="dxa"/>
            <w:tcBorders/>
            <w:vAlign w:val="center"/>
          </w:tcPr>
          <w:p>
            <w:pPr>
              <w:pStyle w:val="TableContents"/>
              <w:bidi w:val="0"/>
              <w:spacing w:before="0" w:after="283"/>
              <w:jc w:val="left"/>
              <w:rPr/>
            </w:pPr>
            <w:r>
              <w:rPr/>
              <w:t> </w:t>
            </w:r>
          </w:p>
        </w:tc>
      </w:tr>
      <w:tr>
        <w:trPr/>
        <w:tc>
          <w:tcPr>
            <w:tcW w:w="1345" w:type="dxa"/>
            <w:gridSpan w:val="2"/>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0"/>
              <w:jc w:val="left"/>
              <w:rPr/>
            </w:pPr>
            <w:r>
              <w:rPr/>
              <w:t>Settlement Method Election:</w:t>
            </w:r>
          </w:p>
        </w:tc>
        <w:tc>
          <w:tcPr>
            <w:tcW w:w="8860" w:type="dxa"/>
            <w:tcBorders/>
            <w:vAlign w:val="center"/>
          </w:tcPr>
          <w:p>
            <w:pPr>
              <w:pStyle w:val="TableContents"/>
              <w:bidi w:val="0"/>
              <w:spacing w:before="0" w:after="0"/>
              <w:jc w:val="left"/>
              <w:rPr/>
            </w:pPr>
            <w:r>
              <w:rPr/>
              <w:t xml:space="preserve">Applicable; </w:t>
            </w:r>
            <w:r>
              <w:rPr>
                <w:i/>
              </w:rPr>
              <w:t>provided</w:t>
            </w:r>
            <w:r>
              <w:rPr/>
              <w:t xml:space="preserve"> that (a) Section 7.1 of the Equity Definitions is hereby amended by replacing the term “Physical Settlement” with the term “Net Share Settlement”, (b) Counterparty must make a single irrevocable election for all Components and (c) if Counterparty is electing Cash Settlement, such Settlement Method Election will be effective only if Counterparty represents and warrants to Dealer in writing on the date of such Settlement Method Election that (i) Counterparty is not in possession of any material non-public information regarding Counterparty or the Shares, and (ii) such election is being made in good faith and not as part of a plan or scheme to evade compliance with the federal securities laws.</w:t>
            </w:r>
          </w:p>
          <w:p>
            <w:pPr>
              <w:pStyle w:val="TableContents"/>
              <w:bidi w:val="0"/>
              <w:spacing w:before="0" w:after="0"/>
              <w:jc w:val="left"/>
              <w:rPr/>
            </w:pPr>
            <w:r>
              <w:rPr/>
            </w:r>
          </w:p>
          <w:p>
            <w:pPr>
              <w:pStyle w:val="TableContents"/>
              <w:bidi w:val="0"/>
              <w:spacing w:before="0" w:after="0"/>
              <w:jc w:val="left"/>
              <w:rPr/>
            </w:pPr>
            <w:r>
              <w:rPr/>
              <w:t>Without limiting the generality of the foregoing, Counterparty acknowledges its responsibilities under applicable securities laws, and in particular Sections 9 and 10(b) of the Securities Exchange Act of 1934, as amended (the “</w:t>
            </w:r>
            <w:r>
              <w:rPr>
                <w:b/>
              </w:rPr>
              <w:t>Exchange Act</w:t>
            </w:r>
            <w:r>
              <w:rPr/>
              <w:t>”) and the rules and regulations promulgated thereunder in respect of such election.</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0"/>
              <w:jc w:val="left"/>
              <w:rPr/>
            </w:pPr>
            <w:r>
              <w:rPr/>
              <w:t>Electing Party:</w:t>
            </w:r>
          </w:p>
        </w:tc>
        <w:tc>
          <w:tcPr>
            <w:tcW w:w="8860" w:type="dxa"/>
            <w:tcBorders/>
            <w:vAlign w:val="center"/>
          </w:tcPr>
          <w:p>
            <w:pPr>
              <w:pStyle w:val="TableContents"/>
              <w:bidi w:val="0"/>
              <w:spacing w:before="0" w:after="0"/>
              <w:jc w:val="left"/>
              <w:rPr/>
            </w:pPr>
            <w:r>
              <w:rPr/>
              <w:t>Counterparty</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0"/>
              <w:jc w:val="left"/>
              <w:rPr/>
            </w:pPr>
            <w:r>
              <w:rPr/>
              <w:t>Settlement Method Election Date:</w:t>
            </w:r>
          </w:p>
        </w:tc>
        <w:tc>
          <w:tcPr>
            <w:tcW w:w="8860" w:type="dxa"/>
            <w:tcBorders/>
            <w:vAlign w:val="center"/>
          </w:tcPr>
          <w:p>
            <w:pPr>
              <w:pStyle w:val="TableContents"/>
              <w:bidi w:val="0"/>
              <w:spacing w:before="0" w:after="0"/>
              <w:jc w:val="left"/>
              <w:rPr/>
            </w:pPr>
            <w:r>
              <w:rPr/>
              <w:t>The second Scheduled Valid Day prior to the scheduled Expiration Date for the Component with the earliest scheduled Expiration Date.</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0"/>
              <w:jc w:val="left"/>
              <w:rPr/>
            </w:pPr>
            <w:r>
              <w:rPr/>
              <w:t>Default Settlement Method:</w:t>
            </w:r>
          </w:p>
        </w:tc>
        <w:tc>
          <w:tcPr>
            <w:tcW w:w="8860" w:type="dxa"/>
            <w:tcBorders/>
            <w:vAlign w:val="center"/>
          </w:tcPr>
          <w:p>
            <w:pPr>
              <w:pStyle w:val="TableContents"/>
              <w:bidi w:val="0"/>
              <w:spacing w:before="0" w:after="0"/>
              <w:jc w:val="left"/>
              <w:rPr/>
            </w:pPr>
            <w:r>
              <w:rPr/>
              <w:t>Net Share Settlement</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0"/>
              <w:jc w:val="left"/>
              <w:rPr/>
            </w:pPr>
            <w:r>
              <w:rPr/>
              <w:t>Net Share Settlement:</w:t>
            </w:r>
          </w:p>
        </w:tc>
        <w:tc>
          <w:tcPr>
            <w:tcW w:w="8860" w:type="dxa"/>
            <w:tcBorders/>
            <w:vAlign w:val="center"/>
          </w:tcPr>
          <w:p>
            <w:pPr>
              <w:pStyle w:val="TableContents"/>
              <w:bidi w:val="0"/>
              <w:spacing w:before="0" w:after="0"/>
              <w:jc w:val="left"/>
              <w:rPr/>
            </w:pPr>
            <w:r>
              <w:rPr/>
              <w:t>With respect to any Component, if Net Share Settlement is applicable to the Options exercised or deemed exercised hereunder, Dealer will deliver to Counterparty, on the relevant Settlement Date for each such Component, a number of Shares (the “</w:t>
            </w:r>
            <w:bookmarkStart w:id="171" w:name="tblterm6"/>
            <w:bookmarkEnd w:id="171"/>
            <w:r>
              <w:rPr>
                <w:b/>
              </w:rPr>
              <w:t>Net Share Settlement Amount</w:t>
            </w:r>
            <w:r>
              <w:rPr/>
              <w:t xml:space="preserve">”) equal to (i) the Daily Option Value on the Expiration Date of such Component </w:t>
            </w:r>
            <w:r>
              <w:rPr>
                <w:i/>
              </w:rPr>
              <w:t>divided by</w:t>
            </w:r>
            <w:r>
              <w:rPr/>
              <w:t xml:space="preserve"> (ii) the Relevant Price on such Expiration Date.</w:t>
            </w:r>
          </w:p>
          <w:p>
            <w:pPr>
              <w:pStyle w:val="TableContents"/>
              <w:bidi w:val="0"/>
              <w:spacing w:before="0" w:after="0"/>
              <w:jc w:val="left"/>
              <w:rPr/>
            </w:pPr>
            <w:r>
              <w:rPr/>
            </w:r>
          </w:p>
          <w:p>
            <w:pPr>
              <w:pStyle w:val="TableContents"/>
              <w:bidi w:val="0"/>
              <w:spacing w:before="0" w:after="0"/>
              <w:jc w:val="left"/>
              <w:rPr/>
            </w:pPr>
            <w:r>
              <w:rPr/>
              <w:t>Dealer will deliver cash in lieu of any fractional Shares to be delivered with respect to any Net Share Settlement Amount valued at the Relevant Price for the Expiration Date of such Component.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72" w:name="zae01d1fd02764ddb821798d7ceb3927f"/>
      <w:bookmarkStart w:id="173" w:name="zae01d1fd02764ddb821798d7ceb3927f"/>
      <w:bookmarkEnd w:id="173"/>
    </w:p>
    <w:tbl>
      <w:tblPr>
        <w:tblW w:w="10205" w:type="dxa"/>
        <w:jc w:val="left"/>
        <w:tblInd w:w="0" w:type="dxa"/>
        <w:tblLayout w:type="fixed"/>
        <w:tblCellMar>
          <w:top w:w="0" w:type="dxa"/>
          <w:left w:w="0" w:type="dxa"/>
          <w:bottom w:w="0" w:type="dxa"/>
          <w:right w:w="0" w:type="dxa"/>
        </w:tblCellMar>
      </w:tblPr>
      <w:tblGrid>
        <w:gridCol w:w="75"/>
        <w:gridCol w:w="1194"/>
        <w:gridCol w:w="8936"/>
      </w:tblGrid>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0"/>
              <w:jc w:val="left"/>
              <w:rPr/>
            </w:pPr>
            <w:r>
              <w:rPr/>
              <w:t>Cash Settlement:</w:t>
            </w:r>
          </w:p>
        </w:tc>
        <w:tc>
          <w:tcPr>
            <w:tcW w:w="8936" w:type="dxa"/>
            <w:tcBorders/>
            <w:vAlign w:val="center"/>
          </w:tcPr>
          <w:p>
            <w:pPr>
              <w:pStyle w:val="TableContents"/>
              <w:bidi w:val="0"/>
              <w:spacing w:before="0" w:after="0"/>
              <w:jc w:val="left"/>
              <w:rPr/>
            </w:pPr>
            <w:r>
              <w:rPr/>
              <w:t>With respect to any Component, if Cash Settlement is applicable to the Options exercised or deemed exercised hereunder, in lieu of Section 8.1 of the Equity Definitions, Dealer will pay to Counterparty, on the Settlement Date, an amount of cash (the “</w:t>
            </w:r>
            <w:bookmarkStart w:id="174" w:name="tblterm11"/>
            <w:bookmarkEnd w:id="174"/>
            <w:r>
              <w:rPr>
                <w:b/>
              </w:rPr>
              <w:t>Cash Settlement Amount</w:t>
            </w:r>
            <w:r>
              <w:rPr/>
              <w:t>”) equal to the Daily Option Value on the Expiration Date of such Component.</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0"/>
              <w:jc w:val="left"/>
              <w:rPr/>
            </w:pPr>
            <w:r>
              <w:rPr/>
              <w:t>Daily Option Value:</w:t>
            </w:r>
          </w:p>
        </w:tc>
        <w:tc>
          <w:tcPr>
            <w:tcW w:w="8936" w:type="dxa"/>
            <w:tcBorders/>
            <w:vAlign w:val="center"/>
          </w:tcPr>
          <w:p>
            <w:pPr>
              <w:pStyle w:val="TableContents"/>
              <w:bidi w:val="0"/>
              <w:spacing w:before="0" w:after="0"/>
              <w:jc w:val="left"/>
              <w:rPr/>
            </w:pPr>
            <w:r>
              <w:rPr/>
              <w:t xml:space="preserve">For any Component, an amount equal to (i) the Number of Options in such Component, </w:t>
            </w:r>
            <w:r>
              <w:rPr>
                <w:i/>
              </w:rPr>
              <w:t>multiplied by</w:t>
            </w:r>
            <w:r>
              <w:rPr/>
              <w:t xml:space="preserve"> (ii) the Option Entitlement, </w:t>
            </w:r>
            <w:r>
              <w:rPr>
                <w:i/>
              </w:rPr>
              <w:t>multiplied by</w:t>
            </w:r>
            <w:r>
              <w:rPr/>
              <w:t xml:space="preserve"> (iii) (A) the lesser of the Relevant Price on the Expiration Date of such Component and the Cap Price, </w:t>
            </w:r>
            <w:r>
              <w:rPr>
                <w:i/>
              </w:rPr>
              <w:t>minus</w:t>
            </w:r>
            <w:r>
              <w:rPr/>
              <w:t xml:space="preserve"> (B) the Strike Price on such Expiration Date; </w:t>
            </w:r>
            <w:r>
              <w:rPr>
                <w:i/>
              </w:rPr>
              <w:t>provided</w:t>
            </w:r>
            <w:r>
              <w:rPr/>
              <w:t xml:space="preserve"> that if the calculation contained in clause (iii) above results in a negative number, the Daily Option Value for such Component shall be deemed to be zero. In no event will the Daily Option Value be less than zero.</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0"/>
              <w:jc w:val="left"/>
              <w:rPr/>
            </w:pPr>
            <w:r>
              <w:rPr/>
              <w:t>Valid Day:</w:t>
            </w:r>
          </w:p>
        </w:tc>
        <w:tc>
          <w:tcPr>
            <w:tcW w:w="8936" w:type="dxa"/>
            <w:tcBorders/>
            <w:vAlign w:val="center"/>
          </w:tcPr>
          <w:p>
            <w:pPr>
              <w:pStyle w:val="TableContents"/>
              <w:bidi w:val="0"/>
              <w:spacing w:before="0" w:after="0"/>
              <w:jc w:val="left"/>
              <w:rPr/>
            </w:pPr>
            <w:r>
              <w:rPr/>
              <w:t>A day on which (i) there is no Market Disruption Event and (ii) trading in the Shares generally occurs on the Exchange. If the Shares are not listed, quoted or traded on any U.S. securities exchange or any other market, “</w:t>
            </w:r>
            <w:bookmarkStart w:id="175" w:name="tblterm12"/>
            <w:bookmarkEnd w:id="175"/>
            <w:r>
              <w:rPr>
                <w:b/>
              </w:rPr>
              <w:t>Valid Day</w:t>
            </w:r>
            <w:r>
              <w:rPr/>
              <w:t>” means a Business Day.</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0"/>
              <w:jc w:val="left"/>
              <w:rPr/>
            </w:pPr>
            <w:r>
              <w:rPr/>
              <w:t>Scheduled Valid Day:</w:t>
            </w:r>
          </w:p>
        </w:tc>
        <w:tc>
          <w:tcPr>
            <w:tcW w:w="8936" w:type="dxa"/>
            <w:tcBorders/>
            <w:vAlign w:val="center"/>
          </w:tcPr>
          <w:p>
            <w:pPr>
              <w:pStyle w:val="TableContents"/>
              <w:bidi w:val="0"/>
              <w:spacing w:before="0" w:after="0"/>
              <w:jc w:val="left"/>
              <w:rPr/>
            </w:pPr>
            <w:r>
              <w:rPr/>
              <w:t>A day that is scheduled to be a Valid Day on the Exchange. If the Shares are not listed, quoted or traded on any U.S. securities exchange or any other market, “</w:t>
            </w:r>
            <w:bookmarkStart w:id="176" w:name="tblterm13"/>
            <w:bookmarkEnd w:id="176"/>
            <w:r>
              <w:rPr>
                <w:b/>
              </w:rPr>
              <w:t>Scheduled Valid Day</w:t>
            </w:r>
            <w:r>
              <w:rPr/>
              <w:t>” means a Business Day.</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0"/>
              <w:jc w:val="left"/>
              <w:rPr/>
            </w:pPr>
            <w:r>
              <w:rPr/>
              <w:t>Business Day:</w:t>
            </w:r>
          </w:p>
        </w:tc>
        <w:tc>
          <w:tcPr>
            <w:tcW w:w="8936" w:type="dxa"/>
            <w:tcBorders/>
            <w:vAlign w:val="center"/>
          </w:tcPr>
          <w:p>
            <w:pPr>
              <w:pStyle w:val="TableContents"/>
              <w:bidi w:val="0"/>
              <w:spacing w:before="0" w:after="0"/>
              <w:jc w:val="left"/>
              <w:rPr/>
            </w:pPr>
            <w:r>
              <w:rPr/>
              <w:t>Any day other than a Saturday, a Sunday or other day on which banking institutions are authorized or required by law, regulation or executive order to close or be closed in the State of New York.</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0"/>
              <w:jc w:val="left"/>
              <w:rPr/>
            </w:pPr>
            <w:r>
              <w:rPr/>
              <w:t>Relevant Price:</w:t>
            </w:r>
          </w:p>
        </w:tc>
        <w:tc>
          <w:tcPr>
            <w:tcW w:w="8936" w:type="dxa"/>
            <w:tcBorders/>
            <w:vAlign w:val="center"/>
          </w:tcPr>
          <w:p>
            <w:pPr>
              <w:pStyle w:val="TableContents"/>
              <w:bidi w:val="0"/>
              <w:spacing w:before="0" w:after="0"/>
              <w:jc w:val="left"/>
              <w:rPr/>
            </w:pPr>
            <w:r>
              <w:rPr/>
              <w:t>On any Valid Day, the per Share volume-weighted average price as displayed under the heading “Bloomberg VWAP” on Bloomberg page “OPEN &lt;equity&gt; AQR” (or its equivalent successor if such page is not available) (the “</w:t>
            </w:r>
            <w:bookmarkStart w:id="177" w:name="tblterm14"/>
            <w:bookmarkEnd w:id="177"/>
            <w:r>
              <w:rPr>
                <w:b/>
              </w:rPr>
              <w:t>VWAP</w:t>
            </w:r>
            <w:r>
              <w:rPr/>
              <w:t>”) in respect of the period from the scheduled open of trading until the scheduled close of trading of the primary trading session on such Valid Day (or if such volume-weighted average price is unavailable at such time or is, in the Calculation Agent’s commercially reasonable discretion, manifestly erroneous, the market value of one Share on such Valid Day, as determined by the Calculation Agent in a good faith and commercially reasonable manner using, if practicable, a volume-weighted average method substantially similar to the method for determining the VWAP). The Relevant Price will be determined without regard to after-hours trading or any other trading outside of the regular trading session trading hours.</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0"/>
              <w:jc w:val="left"/>
              <w:rPr/>
            </w:pPr>
            <w:r>
              <w:rPr/>
              <w:t>Settlement Date:</w:t>
            </w:r>
          </w:p>
        </w:tc>
        <w:tc>
          <w:tcPr>
            <w:tcW w:w="8936" w:type="dxa"/>
            <w:tcBorders/>
            <w:vAlign w:val="center"/>
          </w:tcPr>
          <w:p>
            <w:pPr>
              <w:pStyle w:val="TableContents"/>
              <w:bidi w:val="0"/>
              <w:spacing w:before="0" w:after="0"/>
              <w:jc w:val="left"/>
              <w:rPr/>
            </w:pPr>
            <w:r>
              <w:rPr/>
              <w:t>For all Components of the Transaction, the date one Settlement Cycle immediately following the Expiration Date for the Component with the latest Expiration Date.</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0"/>
              <w:jc w:val="left"/>
              <w:rPr/>
            </w:pPr>
            <w:r>
              <w:rPr/>
              <w:t>Settlement Currency:</w:t>
            </w:r>
          </w:p>
        </w:tc>
        <w:tc>
          <w:tcPr>
            <w:tcW w:w="8936" w:type="dxa"/>
            <w:tcBorders/>
            <w:vAlign w:val="center"/>
          </w:tcPr>
          <w:p>
            <w:pPr>
              <w:pStyle w:val="TableContents"/>
              <w:bidi w:val="0"/>
              <w:spacing w:before="0" w:after="0"/>
              <w:jc w:val="left"/>
              <w:rPr/>
            </w:pPr>
            <w:r>
              <w:rPr/>
              <w:t>USD</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0"/>
              <w:jc w:val="left"/>
              <w:rPr/>
            </w:pPr>
            <w:r>
              <w:rPr/>
              <w:t>Other Applicable Provisions:</w:t>
            </w:r>
          </w:p>
        </w:tc>
        <w:tc>
          <w:tcPr>
            <w:tcW w:w="8936" w:type="dxa"/>
            <w:tcBorders/>
            <w:vAlign w:val="center"/>
          </w:tcPr>
          <w:p>
            <w:pPr>
              <w:pStyle w:val="TableContents"/>
              <w:bidi w:val="0"/>
              <w:spacing w:before="0" w:after="0"/>
              <w:jc w:val="left"/>
              <w:rPr/>
            </w:pPr>
            <w:r>
              <w:rPr/>
              <w:t>The provisions of Sections 9.1(c), 9.8, 9.9, 9.11 and 9.12 of the Equity Definitions will be applicable, except that all references in such provisions to “Physical Settlement” shall be read as references to “Net Share Settlement.”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78" w:name="z631f85747c474aa5834ca8b1e7949ad3"/>
      <w:bookmarkStart w:id="179" w:name="z631f85747c474aa5834ca8b1e7949ad3"/>
      <w:bookmarkEnd w:id="179"/>
    </w:p>
    <w:tbl>
      <w:tblPr>
        <w:tblW w:w="10205" w:type="dxa"/>
        <w:jc w:val="left"/>
        <w:tblInd w:w="0" w:type="dxa"/>
        <w:tblLayout w:type="fixed"/>
        <w:tblCellMar>
          <w:top w:w="0" w:type="dxa"/>
          <w:left w:w="0" w:type="dxa"/>
          <w:bottom w:w="0" w:type="dxa"/>
          <w:right w:w="0" w:type="dxa"/>
        </w:tblCellMar>
      </w:tblPr>
      <w:tblGrid>
        <w:gridCol w:w="75"/>
        <w:gridCol w:w="1542"/>
        <w:gridCol w:w="8588"/>
      </w:tblGrid>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0"/>
              <w:jc w:val="left"/>
              <w:rPr/>
            </w:pPr>
            <w:r>
              <w:rPr/>
              <w:t>Representation and Agreement:</w:t>
            </w:r>
          </w:p>
        </w:tc>
        <w:tc>
          <w:tcPr>
            <w:tcW w:w="8588" w:type="dxa"/>
            <w:tcBorders/>
            <w:vAlign w:val="center"/>
          </w:tcPr>
          <w:p>
            <w:pPr>
              <w:pStyle w:val="TableContents"/>
              <w:bidi w:val="0"/>
              <w:spacing w:before="0" w:after="0"/>
              <w:jc w:val="left"/>
              <w:rPr/>
            </w:pPr>
            <w:r>
              <w:rPr/>
              <w:t>Notwithstanding anything to the contrary in the Equity Definitions (including, but not limited to, Section 9.11 thereof), the parties acknowledge that (i) any Shares delivered to Counterparty shall be, upon delivery, subject to restrictions, obligations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bookmarkStart w:id="180" w:name="tblterm15"/>
            <w:bookmarkEnd w:id="180"/>
            <w:r>
              <w:rPr>
                <w:b/>
              </w:rPr>
              <w:t>Securities Act</w:t>
            </w:r>
            <w:r>
              <w:rPr/>
              <w:t>”)).</w:t>
            </w:r>
          </w:p>
        </w:tc>
      </w:tr>
      <w:tr>
        <w:trPr/>
        <w:tc>
          <w:tcPr>
            <w:tcW w:w="1617" w:type="dxa"/>
            <w:gridSpan w:val="2"/>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r>
      <w:tr>
        <w:trPr/>
        <w:tc>
          <w:tcPr>
            <w:tcW w:w="1617" w:type="dxa"/>
            <w:gridSpan w:val="2"/>
            <w:tcBorders/>
            <w:vAlign w:val="center"/>
          </w:tcPr>
          <w:p>
            <w:pPr>
              <w:pStyle w:val="TableContents"/>
              <w:bidi w:val="0"/>
              <w:spacing w:before="0" w:after="0"/>
              <w:jc w:val="left"/>
              <w:rPr/>
            </w:pPr>
            <w:r>
              <w:rPr>
                <w:i/>
                <w:u w:val="single"/>
              </w:rPr>
              <w:t>Adjustments</w:t>
            </w:r>
            <w:r>
              <w:rPr/>
              <w:t>:</w:t>
            </w:r>
          </w:p>
        </w:tc>
        <w:tc>
          <w:tcPr>
            <w:tcW w:w="8588" w:type="dxa"/>
            <w:tcBorders/>
            <w:vAlign w:val="center"/>
          </w:tcPr>
          <w:p>
            <w:pPr>
              <w:pStyle w:val="TableContents"/>
              <w:bidi w:val="0"/>
              <w:spacing w:before="0" w:after="283"/>
              <w:jc w:val="left"/>
              <w:rPr/>
            </w:pPr>
            <w:r>
              <w:rPr/>
              <w:t> </w:t>
            </w:r>
          </w:p>
        </w:tc>
      </w:tr>
      <w:tr>
        <w:trPr/>
        <w:tc>
          <w:tcPr>
            <w:tcW w:w="1617" w:type="dxa"/>
            <w:gridSpan w:val="2"/>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0"/>
              <w:jc w:val="left"/>
              <w:rPr/>
            </w:pPr>
            <w:r>
              <w:rPr/>
              <w:t>Method of Adjustment:</w:t>
            </w:r>
          </w:p>
        </w:tc>
        <w:tc>
          <w:tcPr>
            <w:tcW w:w="8588" w:type="dxa"/>
            <w:tcBorders/>
            <w:vAlign w:val="center"/>
          </w:tcPr>
          <w:p>
            <w:pPr>
              <w:pStyle w:val="TableContents"/>
              <w:bidi w:val="0"/>
              <w:spacing w:before="0" w:after="0"/>
              <w:jc w:val="left"/>
              <w:rPr/>
            </w:pPr>
            <w:r>
              <w:rPr/>
              <w:t xml:space="preserve">Calculation Agent Adjustment; </w:t>
            </w:r>
            <w:r>
              <w:rPr>
                <w:i/>
              </w:rPr>
              <w:t xml:space="preserve">provided </w:t>
            </w:r>
            <w:r>
              <w:rPr/>
              <w:t>that the parties agree that (x) Share repurchases substantially concurrent with the issuance of the Convertible Notes, (y) open market Share repurchases at prevailing market prices and (z) Share repurchases through a dealer pursuant to accelerated share repurchases, forward contracts or similar transactions (including, without limitation, any discount to average VWAP prices) that are entered into at prevailing market prices, in a commercially reasonable manner, and in accordance with customary market terms for transactions of such type to repurchase the Shares shall not be considered Potential Adjustment Events so long as, in the case of each of clause (y) and clause (z), after giving effect to such repurchase or transaction, the aggregate number of Shares repurchased during the term of the Transaction pursuant to all such transactions described in clause (y) and clause (z) would not exceed 20% of the number of Shares outstanding as of the Trade Date, as determined by the Calculation Agent and as adjusted by the Calculation Agent to account for any subdivision or combination with respect to the Shares.</w:t>
            </w:r>
          </w:p>
        </w:tc>
      </w:tr>
      <w:tr>
        <w:trPr/>
        <w:tc>
          <w:tcPr>
            <w:tcW w:w="1617" w:type="dxa"/>
            <w:gridSpan w:val="2"/>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r>
      <w:tr>
        <w:trPr/>
        <w:tc>
          <w:tcPr>
            <w:tcW w:w="1617" w:type="dxa"/>
            <w:gridSpan w:val="2"/>
            <w:tcBorders/>
            <w:vAlign w:val="center"/>
          </w:tcPr>
          <w:p>
            <w:pPr>
              <w:pStyle w:val="TableContents"/>
              <w:bidi w:val="0"/>
              <w:spacing w:before="0" w:after="0"/>
              <w:jc w:val="left"/>
              <w:rPr/>
            </w:pPr>
            <w:r>
              <w:rPr>
                <w:i/>
                <w:u w:val="single"/>
              </w:rPr>
              <w:t>Extraordinary Events</w:t>
            </w:r>
            <w:r>
              <w:rPr/>
              <w:t>:</w:t>
            </w:r>
          </w:p>
        </w:tc>
        <w:tc>
          <w:tcPr>
            <w:tcW w:w="8588" w:type="dxa"/>
            <w:tcBorders/>
            <w:vAlign w:val="center"/>
          </w:tcPr>
          <w:p>
            <w:pPr>
              <w:pStyle w:val="TableContents"/>
              <w:bidi w:val="0"/>
              <w:spacing w:before="0" w:after="283"/>
              <w:jc w:val="left"/>
              <w:rPr/>
            </w:pPr>
            <w:r>
              <w:rPr/>
              <w:t> </w:t>
            </w:r>
          </w:p>
        </w:tc>
      </w:tr>
      <w:tr>
        <w:trPr/>
        <w:tc>
          <w:tcPr>
            <w:tcW w:w="1617" w:type="dxa"/>
            <w:gridSpan w:val="2"/>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0"/>
              <w:jc w:val="left"/>
              <w:rPr/>
            </w:pPr>
            <w:r>
              <w:rPr/>
              <w:t>New Shares:</w:t>
            </w:r>
          </w:p>
        </w:tc>
        <w:tc>
          <w:tcPr>
            <w:tcW w:w="8588" w:type="dxa"/>
            <w:tcBorders/>
            <w:vAlign w:val="center"/>
          </w:tcPr>
          <w:p>
            <w:pPr>
              <w:pStyle w:val="TableContents"/>
              <w:bidi w:val="0"/>
              <w:spacing w:before="0" w:after="0"/>
              <w:jc w:val="left"/>
              <w:rPr/>
            </w:pPr>
            <w:r>
              <w:rPr/>
              <w:t>In the definition of New Shares in Section 12.1(i) of the Equity Definitions, (a) the text in clause (i) thereof shall be deleted in its entirety and replaced with “publicly quoted, traded or listed on any of The New York Stock Exchange, The Nasdaq Global Market or The Nasdaq Global Select Market (or their respective successors),” and (b) the following phrase shall be inserted immediately prior to the period: “and (iii) of a corporation organized under the laws of the United States, any State thereof or the District of Columbia that (x) also becomes Counterparty under the Transaction or (y) agrees to be subject to Sections 8(d) and 8(e) of the Confirmation governing the Transaction, in either case, following such Merger Event or Tender Offer”.</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0"/>
              <w:jc w:val="left"/>
              <w:rPr/>
            </w:pPr>
            <w:r>
              <w:rPr/>
              <w:t>Merger Events:</w:t>
            </w:r>
          </w:p>
        </w:tc>
        <w:tc>
          <w:tcPr>
            <w:tcW w:w="8588" w:type="dxa"/>
            <w:tcBorders/>
            <w:vAlign w:val="center"/>
          </w:tcPr>
          <w:p>
            <w:pPr>
              <w:pStyle w:val="TableContents"/>
              <w:bidi w:val="0"/>
              <w:spacing w:before="0" w:after="0"/>
              <w:jc w:val="left"/>
              <w:rPr/>
            </w:pPr>
            <w:r>
              <w:rPr/>
              <w:t>Applicable</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0"/>
              <w:jc w:val="left"/>
              <w:rPr/>
            </w:pPr>
            <w:r>
              <w:rPr/>
              <w:t>Consequences of Merger Events:</w:t>
            </w:r>
          </w:p>
        </w:tc>
        <w:tc>
          <w:tcPr>
            <w:tcW w:w="85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0"/>
              <w:jc w:val="left"/>
              <w:rPr/>
            </w:pPr>
            <w:r>
              <w:rPr/>
              <w:t>(a)   Share-for-Share:</w:t>
            </w:r>
          </w:p>
        </w:tc>
        <w:tc>
          <w:tcPr>
            <w:tcW w:w="8588" w:type="dxa"/>
            <w:tcBorders/>
            <w:vAlign w:val="center"/>
          </w:tcPr>
          <w:p>
            <w:pPr>
              <w:pStyle w:val="TableContents"/>
              <w:bidi w:val="0"/>
              <w:spacing w:before="0" w:after="0"/>
              <w:jc w:val="left"/>
              <w:rPr/>
            </w:pPr>
            <w:r>
              <w:rPr/>
              <w:t>Modified Calculation Agent Adjustment</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0"/>
              <w:jc w:val="left"/>
              <w:rPr/>
            </w:pPr>
            <w:r>
              <w:rPr/>
              <w:t>(b)   Share-for-Other:</w:t>
            </w:r>
          </w:p>
        </w:tc>
        <w:tc>
          <w:tcPr>
            <w:tcW w:w="8588" w:type="dxa"/>
            <w:tcBorders/>
            <w:vAlign w:val="center"/>
          </w:tcPr>
          <w:p>
            <w:pPr>
              <w:pStyle w:val="TableContents"/>
              <w:bidi w:val="0"/>
              <w:spacing w:before="0" w:after="0"/>
              <w:jc w:val="left"/>
              <w:rPr/>
            </w:pPr>
            <w:r>
              <w:rPr/>
              <w:t>Cancellation and Payment (Calculation Agent Determination)</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0"/>
              <w:jc w:val="left"/>
              <w:rPr/>
            </w:pPr>
            <w:r>
              <w:rPr/>
              <w:t>(c)   Share-for-Combined:</w:t>
            </w:r>
          </w:p>
        </w:tc>
        <w:tc>
          <w:tcPr>
            <w:tcW w:w="8588" w:type="dxa"/>
            <w:tcBorders/>
            <w:vAlign w:val="center"/>
          </w:tcPr>
          <w:p>
            <w:pPr>
              <w:pStyle w:val="TableContents"/>
              <w:bidi w:val="0"/>
              <w:spacing w:before="0" w:after="0"/>
              <w:jc w:val="left"/>
              <w:rPr/>
            </w:pPr>
            <w:r>
              <w:rPr/>
              <w:t xml:space="preserve">Cancellation and Payment (Calculation Agent Determination); </w:t>
            </w:r>
            <w:r>
              <w:rPr>
                <w:i/>
              </w:rPr>
              <w:t>provided</w:t>
            </w:r>
            <w:r>
              <w:rPr/>
              <w:t xml:space="preserve"> that the Calculation Agent may elect Component Adjustment for all or part of the Transaction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1" w:name="z09b47144ede043ef871feffdfb2293ce"/>
      <w:bookmarkStart w:id="182" w:name="z09b47144ede043ef871feffdfb2293ce"/>
      <w:bookmarkEnd w:id="182"/>
    </w:p>
    <w:tbl>
      <w:tblPr>
        <w:tblW w:w="10205" w:type="dxa"/>
        <w:jc w:val="left"/>
        <w:tblInd w:w="0" w:type="dxa"/>
        <w:tblLayout w:type="fixed"/>
        <w:tblCellMar>
          <w:top w:w="0" w:type="dxa"/>
          <w:left w:w="0" w:type="dxa"/>
          <w:bottom w:w="0" w:type="dxa"/>
          <w:right w:w="0" w:type="dxa"/>
        </w:tblCellMar>
      </w:tblPr>
      <w:tblGrid>
        <w:gridCol w:w="75"/>
        <w:gridCol w:w="1540"/>
        <w:gridCol w:w="8590"/>
      </w:tblGrid>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pPr>
            <w:r>
              <w:rPr/>
              <w:t>Tender Offer:</w:t>
            </w:r>
          </w:p>
        </w:tc>
        <w:tc>
          <w:tcPr>
            <w:tcW w:w="8590" w:type="dxa"/>
            <w:tcBorders/>
            <w:vAlign w:val="center"/>
          </w:tcPr>
          <w:p>
            <w:pPr>
              <w:pStyle w:val="TableContents"/>
              <w:bidi w:val="0"/>
              <w:spacing w:before="0" w:after="0"/>
              <w:jc w:val="left"/>
              <w:rPr/>
            </w:pPr>
            <w:r>
              <w:rPr/>
              <w:t xml:space="preserve">Applicable; </w:t>
            </w:r>
            <w:r>
              <w:rPr>
                <w:i/>
              </w:rPr>
              <w:t>provided</w:t>
            </w:r>
            <w:r>
              <w:rPr/>
              <w:t xml:space="preserve"> that the definition of “Tender Offer” in Section 12.1(d) of the Equity Definitions will be amended by replacing the phrase “greater than 10% and less than 100% of the outstanding voting shares of the Issuer” in the third and fourth line thereof with “greater than 20% and less than 100% of the outstanding Shares of Counterparty”. In addition, Section 12.1(e) of the Equity Definitions shall be amended by replacing “voting shares” in the first line thereof with “Shares”, and Section 12.1(l) of the Equity Definitions shall be amended by replacing “voting shares” in the fifth line thereof with “Shares”.</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left"/>
              <w:rPr/>
            </w:pPr>
            <w:r>
              <w:rPr/>
              <w:t> </w:t>
            </w:r>
          </w:p>
        </w:tc>
        <w:tc>
          <w:tcPr>
            <w:tcW w:w="8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pPr>
            <w:r>
              <w:rPr/>
              <w:t>Consequences of Tender Offers:</w:t>
            </w:r>
          </w:p>
        </w:tc>
        <w:tc>
          <w:tcPr>
            <w:tcW w:w="8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left"/>
              <w:rPr/>
            </w:pPr>
            <w:r>
              <w:rPr/>
              <w:t> </w:t>
            </w:r>
          </w:p>
        </w:tc>
        <w:tc>
          <w:tcPr>
            <w:tcW w:w="8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pPr>
            <w:r>
              <w:rPr/>
              <w:t>(a)   Share-for-Share:</w:t>
            </w:r>
          </w:p>
        </w:tc>
        <w:tc>
          <w:tcPr>
            <w:tcW w:w="8590" w:type="dxa"/>
            <w:tcBorders/>
            <w:vAlign w:val="center"/>
          </w:tcPr>
          <w:p>
            <w:pPr>
              <w:pStyle w:val="TableContents"/>
              <w:bidi w:val="0"/>
              <w:spacing w:before="0" w:after="0"/>
              <w:jc w:val="left"/>
              <w:rPr/>
            </w:pPr>
            <w:r>
              <w:rPr/>
              <w:t>Modified Calculation Agent Adjustment</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left"/>
              <w:rPr/>
            </w:pPr>
            <w:r>
              <w:rPr/>
              <w:t> </w:t>
            </w:r>
          </w:p>
        </w:tc>
        <w:tc>
          <w:tcPr>
            <w:tcW w:w="8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pPr>
            <w:r>
              <w:rPr/>
              <w:t>(b)   Share-for-Other:</w:t>
            </w:r>
          </w:p>
        </w:tc>
        <w:tc>
          <w:tcPr>
            <w:tcW w:w="8590" w:type="dxa"/>
            <w:tcBorders/>
            <w:vAlign w:val="center"/>
          </w:tcPr>
          <w:p>
            <w:pPr>
              <w:pStyle w:val="TableContents"/>
              <w:bidi w:val="0"/>
              <w:spacing w:before="0" w:after="0"/>
              <w:jc w:val="left"/>
              <w:rPr/>
            </w:pPr>
            <w:r>
              <w:rPr/>
              <w:t>Modified Calculation Agent Adjustment</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left"/>
              <w:rPr/>
            </w:pPr>
            <w:r>
              <w:rPr/>
              <w:t> </w:t>
            </w:r>
          </w:p>
        </w:tc>
        <w:tc>
          <w:tcPr>
            <w:tcW w:w="8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pPr>
            <w:r>
              <w:rPr/>
              <w:t>(c)   Share-for-Combined:</w:t>
            </w:r>
          </w:p>
        </w:tc>
        <w:tc>
          <w:tcPr>
            <w:tcW w:w="8590" w:type="dxa"/>
            <w:tcBorders/>
            <w:vAlign w:val="center"/>
          </w:tcPr>
          <w:p>
            <w:pPr>
              <w:pStyle w:val="TableContents"/>
              <w:bidi w:val="0"/>
              <w:spacing w:before="0" w:after="0"/>
              <w:jc w:val="left"/>
              <w:rPr/>
            </w:pPr>
            <w:r>
              <w:rPr/>
              <w:t>Modified Calculation Agent Adjustment</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left"/>
              <w:rPr/>
            </w:pPr>
            <w:r>
              <w:rPr/>
              <w:t> </w:t>
            </w:r>
          </w:p>
        </w:tc>
        <w:tc>
          <w:tcPr>
            <w:tcW w:w="8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pPr>
            <w:r>
              <w:rPr/>
              <w:t>Consequences of Announcement Events:</w:t>
            </w:r>
          </w:p>
        </w:tc>
        <w:tc>
          <w:tcPr>
            <w:tcW w:w="8590" w:type="dxa"/>
            <w:tcBorders/>
            <w:vAlign w:val="center"/>
          </w:tcPr>
          <w:p>
            <w:pPr>
              <w:pStyle w:val="TableContents"/>
              <w:bidi w:val="0"/>
              <w:spacing w:before="0" w:after="0"/>
              <w:jc w:val="left"/>
              <w:rPr/>
            </w:pPr>
            <w:r>
              <w:rPr/>
              <w:t xml:space="preserve">Modified Calculation Agent Adjustment as set forth in Section 12.3(d) of the Equity Definitions; </w:t>
            </w:r>
            <w:r>
              <w:rPr>
                <w:i/>
              </w:rPr>
              <w:t>provided</w:t>
            </w:r>
            <w:r>
              <w:rPr/>
              <w:t xml:space="preserve"> that, in respect of an Announcement Event, (x) references to “Tender Offer” shall be replaced by references to “Announcement Event” and references to “Tender Offer Date” shall be replaced by references to “date of such Announcement Event” in the definition of Modified Calculation Agent Adjustment set forth in Section 12.3(d), (y) the phrase “exercise, settlement, payment or any other terms of the Transaction (including, without limitation, the spread)” </w:t>
            </w:r>
            <w:bookmarkStart w:id="183" w:name="z_cp_text_1_65"/>
            <w:bookmarkStart w:id="184" w:name="z_cp_text_2_64"/>
            <w:bookmarkEnd w:id="183"/>
            <w:bookmarkEnd w:id="184"/>
            <w:r>
              <w:rPr/>
              <w:t>in the third and fourth lines of the definition of Modified Calculation Agent Adjustment set forth in Section 12.3(d) shall be replaced with the phrase “Cap Price (</w:t>
            </w:r>
            <w:r>
              <w:rPr>
                <w:i/>
              </w:rPr>
              <w:t>provided</w:t>
            </w:r>
            <w:r>
              <w:rPr/>
              <w:t xml:space="preserve"> that in no event shall the Cap Price be less than the Strike Price)” and the words “whether within a commercially reasonable (as determined by the Calculation Agent) period of time prior to or after the Announcement Event” shall be inserted prior to the word “which” in the seventh line, and (z) for the avoidance of doubt, the Calculation Agent shall, in good faith and a commercially reasonable manner, determine whether the relevant Announcement Event has had a material economic effect on the Transaction and, if so, shall adjust the Cap Price accordingly to take into account such economic effect on one or more occasions on or after the date of the Announcement Event up to, and including, the related Expiration Date, any Early Termination Date and/or any other date of cancellation, it being understood that (i) any 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Agreement and (ii) in making any adjustment the Calculation Agent shall solely take into account changes in stock price, volatility, expected dividends, stock loan rate, and liquidity relevant to the Shares or to such Transaction.  An Announcement Event shall be an “Extraordinary Event” for purposes of the Equity Definitions, to which Article 12 of the Equity Definitions is applicable; </w:t>
            </w:r>
            <w:r>
              <w:rPr>
                <w:i/>
              </w:rPr>
              <w:t>provided further</w:t>
            </w:r>
            <w:r>
              <w:rPr/>
              <w:t xml:space="preserve"> that upon the Calculation Agent making an adjustment, determined in a commercially reasonable manner, to the Cap Price upon any Announcement Event, then the Calculation Agent shall make an adjustment to the Cap Price upon any announcement regarding the same event that gave rise to the original Announcement Event regarding the abandonment of any such event to the extent necessary to reflect the economic effect of such subsequent announcement on the Transaction (</w:t>
            </w:r>
            <w:r>
              <w:rPr>
                <w:i/>
              </w:rPr>
              <w:t>provided</w:t>
            </w:r>
            <w:r>
              <w:rPr/>
              <w:t xml:space="preserve"> that in no event shall the Cap Price be less than the Strike Price).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5" w:name="zfef65251ec5f4683bb3d272df723b88c"/>
      <w:bookmarkStart w:id="186" w:name="zfef65251ec5f4683bb3d272df723b88c"/>
      <w:bookmarkEnd w:id="186"/>
    </w:p>
    <w:tbl>
      <w:tblPr>
        <w:tblW w:w="10205" w:type="dxa"/>
        <w:jc w:val="left"/>
        <w:tblInd w:w="0" w:type="dxa"/>
        <w:tblLayout w:type="fixed"/>
        <w:tblCellMar>
          <w:top w:w="0" w:type="dxa"/>
          <w:left w:w="0" w:type="dxa"/>
          <w:bottom w:w="0" w:type="dxa"/>
          <w:right w:w="0" w:type="dxa"/>
        </w:tblCellMar>
      </w:tblPr>
      <w:tblGrid>
        <w:gridCol w:w="75"/>
        <w:gridCol w:w="1594"/>
        <w:gridCol w:w="8536"/>
      </w:tblGrid>
      <w:tr>
        <w:trPr/>
        <w:tc>
          <w:tcPr>
            <w:tcW w:w="75"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0"/>
              <w:jc w:val="left"/>
              <w:rPr/>
            </w:pPr>
            <w:r>
              <w:rPr/>
              <w:t>Announcement Event:</w:t>
            </w:r>
          </w:p>
        </w:tc>
        <w:tc>
          <w:tcPr>
            <w:tcW w:w="8536" w:type="dxa"/>
            <w:tcBorders/>
            <w:vAlign w:val="center"/>
          </w:tcPr>
          <w:p>
            <w:pPr>
              <w:pStyle w:val="TableContents"/>
              <w:bidi w:val="0"/>
              <w:spacing w:before="0" w:after="0"/>
              <w:jc w:val="left"/>
              <w:rPr/>
            </w:pPr>
            <w:r>
              <w:rPr/>
              <w:t>(i) The public announcement by Counterparty, any agent of Counterparty, any affiliate of Counterparty or a Valid Third Party Entity of any transaction or event that, if completed, would constitute a Merger Event or Tender Offer, or the announcement by Counterparty of any intention to enter into a Merger Event or Tender Offer, (ii) the public announcement by Counterparty, any agent of Counterparty, any affiliate of Counterparty or a Valid Third Party Entity of any potential acquisition or disposition by Counterparty and/or its subsidiaries where the consideration exceeds 35% of the market capitalization of Counterparty as of the date of such announcement (a “</w:t>
            </w:r>
            <w:r>
              <w:rPr>
                <w:b/>
              </w:rPr>
              <w:t>Material Transaction</w:t>
            </w:r>
            <w:r>
              <w:rPr/>
              <w:t>”), (iii) the public announcement by Counterparty, any agent of Counterparty, any affiliate of Counterparty or a Valid Third Party Entity of an intention by Counterparty or such Valid Third Party Entity to solicit or enter into, or to explore strategic alternatives or other similar undertaking that may include, a Merger Event, Tender Offer or Material Transaction, or (iv) any subsequent public announcement by Counterparty, any agent of Counterparty, any affiliate of Counterparty or a Valid Third Party Entity of a change to a transaction or intention that is the subject of an announcement of the type described in clause (i), (ii) or (iii) of this sentence (including, without limitation, a new announcement relating to such a transaction or intention or the announcement of a withdrawal from, or the abandonment or discontinuation of, such a transaction or intention). For the avoidance of doubt, the occurrence of an Announcement Event with respect to any transaction or intention shall not preclude the occurrence of a later Announcement Event with respect to such transaction or intention.  For purposes of this definition of “Announcement Event,”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w:t>
            </w:r>
          </w:p>
        </w:tc>
      </w:tr>
      <w:tr>
        <w:trPr/>
        <w:tc>
          <w:tcPr>
            <w:tcW w:w="75"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left"/>
              <w:rPr/>
            </w:pPr>
            <w:r>
              <w:rPr/>
              <w:t> </w:t>
            </w:r>
          </w:p>
        </w:tc>
        <w:tc>
          <w:tcPr>
            <w:tcW w:w="85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0"/>
              <w:jc w:val="left"/>
              <w:rPr/>
            </w:pPr>
            <w:r>
              <w:rPr/>
              <w:t>Valid Third Party Entity:</w:t>
            </w:r>
          </w:p>
        </w:tc>
        <w:tc>
          <w:tcPr>
            <w:tcW w:w="8536" w:type="dxa"/>
            <w:tcBorders/>
            <w:vAlign w:val="center"/>
          </w:tcPr>
          <w:p>
            <w:pPr>
              <w:pStyle w:val="TableContents"/>
              <w:bidi w:val="0"/>
              <w:spacing w:before="0" w:after="0"/>
              <w:jc w:val="left"/>
              <w:rPr/>
            </w:pPr>
            <w:r>
              <w:rPr/>
              <w:t>In respect of any transaction or event, any third party (or an agent or affiliate thereof) that the Calculation Agent reasonably determines has a bona fide intent to enter into or consummate such transaction or event (or an affiliate or agent of such a third party) (it being understood and agreed that in making such a determination, the Calculation Agent may take into consideration the effect of the relevant announcement by such third party on the Shares and/or options relating to the Shares).</w:t>
            </w:r>
          </w:p>
        </w:tc>
      </w:tr>
      <w:tr>
        <w:trPr/>
        <w:tc>
          <w:tcPr>
            <w:tcW w:w="75"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left"/>
              <w:rPr/>
            </w:pPr>
            <w:r>
              <w:rPr/>
              <w:t> </w:t>
            </w:r>
          </w:p>
        </w:tc>
        <w:tc>
          <w:tcPr>
            <w:tcW w:w="85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0"/>
              <w:jc w:val="left"/>
              <w:rPr/>
            </w:pPr>
            <w:r>
              <w:rPr/>
              <w:t>Notice of Merger Consideration and Consequences:</w:t>
            </w:r>
          </w:p>
        </w:tc>
        <w:tc>
          <w:tcPr>
            <w:tcW w:w="8536" w:type="dxa"/>
            <w:tcBorders/>
            <w:vAlign w:val="center"/>
          </w:tcPr>
          <w:p>
            <w:pPr>
              <w:pStyle w:val="TableContents"/>
              <w:bidi w:val="0"/>
              <w:spacing w:before="0" w:after="0"/>
              <w:jc w:val="left"/>
              <w:rPr/>
            </w:pPr>
            <w:r>
              <w:rPr/>
              <w:t>Upon the occurrence of a Merger Event that causes the Shares to be converted into the right to receive more than a single type of consideration (determined based in part upon any form of stockholder election), Counterparty shall reasonably promptly (but in any event prior to the relevant Merger Date) notify the Calculation Agent of (i) the type and amount of consideration that a holder of Shares would have been entitled to in the case of reclassifications, consolidations, mergers, sales or transfers of assets or other transactions that cause Shares to be converted into the right to receive more than a single type of consideration and (ii) the weighted average of the types and amounts of consideration to be received by the holders of Shares that affirmatively make such an election.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7" w:name="zb8eccdf0a05542d293af6f078e85a052"/>
      <w:bookmarkStart w:id="188" w:name="zb8eccdf0a05542d293af6f078e85a052"/>
      <w:bookmarkEnd w:id="188"/>
    </w:p>
    <w:tbl>
      <w:tblPr>
        <w:tblW w:w="10205" w:type="dxa"/>
        <w:jc w:val="left"/>
        <w:tblInd w:w="0" w:type="dxa"/>
        <w:tblLayout w:type="fixed"/>
        <w:tblCellMar>
          <w:top w:w="0" w:type="dxa"/>
          <w:left w:w="0" w:type="dxa"/>
          <w:bottom w:w="0" w:type="dxa"/>
          <w:right w:w="0" w:type="dxa"/>
        </w:tblCellMar>
      </w:tblPr>
      <w:tblGrid>
        <w:gridCol w:w="60"/>
        <w:gridCol w:w="61"/>
        <w:gridCol w:w="1572"/>
        <w:gridCol w:w="8512"/>
      </w:tblGrid>
      <w:tr>
        <w:trPr/>
        <w:tc>
          <w:tcPr>
            <w:tcW w:w="60" w:type="dxa"/>
            <w:tcBorders/>
            <w:vAlign w:val="center"/>
          </w:tcPr>
          <w:p>
            <w:pPr>
              <w:pStyle w:val="TableContents"/>
              <w:bidi w:val="0"/>
              <w:spacing w:before="0" w:after="283"/>
              <w:jc w:val="left"/>
              <w:rPr/>
            </w:pPr>
            <w:r>
              <w:rPr/>
              <w:t> </w:t>
            </w:r>
          </w:p>
        </w:tc>
        <w:tc>
          <w:tcPr>
            <w:tcW w:w="1633" w:type="dxa"/>
            <w:gridSpan w:val="2"/>
            <w:tcBorders/>
            <w:vAlign w:val="center"/>
          </w:tcPr>
          <w:p>
            <w:pPr>
              <w:pStyle w:val="TableContents"/>
              <w:bidi w:val="0"/>
              <w:spacing w:before="0" w:after="0"/>
              <w:jc w:val="left"/>
              <w:rPr/>
            </w:pPr>
            <w:r>
              <w:rPr/>
              <w:t>Nationalization, Insolvency or Delisting:</w:t>
            </w:r>
          </w:p>
        </w:tc>
        <w:tc>
          <w:tcPr>
            <w:tcW w:w="8512" w:type="dxa"/>
            <w:tcBorders/>
            <w:vAlign w:val="center"/>
          </w:tcPr>
          <w:p>
            <w:pPr>
              <w:pStyle w:val="TableContents"/>
              <w:bidi w:val="0"/>
              <w:spacing w:before="0" w:after="0"/>
              <w:jc w:val="left"/>
              <w:rPr/>
            </w:pPr>
            <w:r>
              <w:rPr/>
              <w:t xml:space="preserve">Cancellation and Payment (Calculation Agent Determination); </w:t>
            </w:r>
            <w:r>
              <w:rPr>
                <w:i/>
              </w:rPr>
              <w:t>provided</w:t>
            </w:r>
            <w:r>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60" w:type="dxa"/>
            <w:tcBorders/>
            <w:vAlign w:val="center"/>
          </w:tcPr>
          <w:p>
            <w:pPr>
              <w:pStyle w:val="TableContents"/>
              <w:bidi w:val="0"/>
              <w:spacing w:before="0" w:after="283"/>
              <w:jc w:val="left"/>
              <w:rPr/>
            </w:pPr>
            <w:r>
              <w:rPr/>
              <w:t> </w:t>
            </w:r>
          </w:p>
        </w:tc>
        <w:tc>
          <w:tcPr>
            <w:tcW w:w="1633" w:type="dxa"/>
            <w:gridSpan w:val="2"/>
            <w:tcBorders/>
            <w:vAlign w:val="center"/>
          </w:tcPr>
          <w:p>
            <w:pPr>
              <w:pStyle w:val="TableContents"/>
              <w:bidi w:val="0"/>
              <w:spacing w:before="0" w:after="283"/>
              <w:jc w:val="left"/>
              <w:rPr/>
            </w:pPr>
            <w:r>
              <w:rPr/>
              <w:t> </w:t>
            </w:r>
          </w:p>
        </w:tc>
        <w:tc>
          <w:tcPr>
            <w:tcW w:w="8512" w:type="dxa"/>
            <w:tcBorders/>
            <w:vAlign w:val="center"/>
          </w:tcPr>
          <w:p>
            <w:pPr>
              <w:pStyle w:val="TableContents"/>
              <w:bidi w:val="0"/>
              <w:spacing w:before="0" w:after="283"/>
              <w:jc w:val="left"/>
              <w:rPr/>
            </w:pPr>
            <w:r>
              <w:rPr/>
              <w:t> </w:t>
            </w:r>
          </w:p>
        </w:tc>
      </w:tr>
      <w:tr>
        <w:trPr/>
        <w:tc>
          <w:tcPr>
            <w:tcW w:w="1693" w:type="dxa"/>
            <w:gridSpan w:val="3"/>
            <w:tcBorders/>
            <w:vAlign w:val="center"/>
          </w:tcPr>
          <w:p>
            <w:pPr>
              <w:pStyle w:val="TableContents"/>
              <w:bidi w:val="0"/>
              <w:spacing w:before="0" w:after="0"/>
              <w:jc w:val="left"/>
              <w:rPr/>
            </w:pPr>
            <w:r>
              <w:rPr>
                <w:i/>
                <w:u w:val="single"/>
              </w:rPr>
              <w:t>Additional Disruption Events</w:t>
            </w:r>
            <w:r>
              <w:rPr/>
              <w:t>:</w:t>
            </w:r>
          </w:p>
        </w:tc>
        <w:tc>
          <w:tcPr>
            <w:tcW w:w="85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33" w:type="dxa"/>
            <w:gridSpan w:val="2"/>
            <w:tcBorders/>
            <w:vAlign w:val="center"/>
          </w:tcPr>
          <w:p>
            <w:pPr>
              <w:pStyle w:val="TableContents"/>
              <w:bidi w:val="0"/>
              <w:spacing w:before="0" w:after="283"/>
              <w:jc w:val="left"/>
              <w:rPr/>
            </w:pPr>
            <w:r>
              <w:rPr/>
              <w:t> </w:t>
            </w:r>
          </w:p>
        </w:tc>
        <w:tc>
          <w:tcPr>
            <w:tcW w:w="85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pPr>
            <w:r>
              <w:rPr/>
              <w:t>(a) Change in Law:</w:t>
            </w:r>
          </w:p>
        </w:tc>
        <w:tc>
          <w:tcPr>
            <w:tcW w:w="8512" w:type="dxa"/>
            <w:tcBorders/>
            <w:vAlign w:val="center"/>
          </w:tcPr>
          <w:p>
            <w:pPr>
              <w:pStyle w:val="TableContents"/>
              <w:bidi w:val="0"/>
              <w:spacing w:before="0" w:after="0"/>
              <w:jc w:val="left"/>
              <w:rPr/>
            </w:pPr>
            <w:r>
              <w:rPr/>
              <w:t xml:space="preserve">Applicable; </w:t>
            </w:r>
            <w:r>
              <w:rPr>
                <w:i/>
              </w:rPr>
              <w:t>provided</w:t>
            </w:r>
            <w:r>
              <w:rPr/>
              <w:t xml:space="preserve"> that Section 12.9(a)(ii) of the Equity Definitions is hereby amended by (i) replacing the phrase “the interpretation” in the third line thereof with the phrase “, or public announcement of, the formal or informal interpretation”, (ii) adding the phrase “and/or type of Hedge Position that would be entered into by a commercially reasonable dealer” after the word “Shares” in clause (X) thereof, (iii) immediately following the word “Transaction” in clause (X) thereof, adding the phrase “in the manner contemplated by the Hedging Party on the Trade Date</w:t>
            </w:r>
            <w:bookmarkStart w:id="189" w:name="z_cp_text_1_69"/>
            <w:bookmarkEnd w:id="189"/>
            <w:r>
              <w:rPr/>
              <w:t xml:space="preserve"> assuming the Hedging Party maintains a commercially reasonable hedge position” and (iv) adding the words “</w:t>
            </w:r>
            <w:r>
              <w:rPr>
                <w:i/>
              </w:rPr>
              <w:t>provided</w:t>
            </w:r>
            <w:r>
              <w:rPr/>
              <w:t xml:space="preserve"> that, in the case of clause (Y) hereof and any law, regulation or interpretation, the consequence of such law, regulation or interpretation is applied consistently by Dealer to all of its similarly situated counterparties and/or similar transactions” after the semi-colon in the last line thereof; and </w:t>
            </w:r>
            <w:r>
              <w:rPr>
                <w:i/>
              </w:rPr>
              <w:t>provided further</w:t>
            </w:r>
            <w:r>
              <w:rPr/>
              <w:t xml:space="preserve"> that Section 12.9(a)(ii) of the Equity Definitions is hereby amended by (i)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tc>
      </w:tr>
      <w:tr>
        <w:trPr/>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c>
          <w:tcPr>
            <w:tcW w:w="85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pPr>
            <w:r>
              <w:rPr/>
              <w:t>(b) Failure to Deliver:</w:t>
            </w:r>
          </w:p>
        </w:tc>
        <w:tc>
          <w:tcPr>
            <w:tcW w:w="8512" w:type="dxa"/>
            <w:tcBorders/>
            <w:vAlign w:val="center"/>
          </w:tcPr>
          <w:p>
            <w:pPr>
              <w:pStyle w:val="TableContents"/>
              <w:bidi w:val="0"/>
              <w:spacing w:before="0" w:after="0"/>
              <w:jc w:val="left"/>
              <w:rPr/>
            </w:pPr>
            <w:r>
              <w:rPr/>
              <w:t>Applicable</w:t>
            </w:r>
          </w:p>
        </w:tc>
      </w:tr>
      <w:tr>
        <w:trPr/>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c>
          <w:tcPr>
            <w:tcW w:w="85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pPr>
            <w:r>
              <w:rPr/>
              <w:t>(c) Insolvency Filing:</w:t>
            </w:r>
          </w:p>
        </w:tc>
        <w:tc>
          <w:tcPr>
            <w:tcW w:w="8512" w:type="dxa"/>
            <w:tcBorders/>
            <w:vAlign w:val="center"/>
          </w:tcPr>
          <w:p>
            <w:pPr>
              <w:pStyle w:val="TableContents"/>
              <w:bidi w:val="0"/>
              <w:spacing w:before="0" w:after="0"/>
              <w:jc w:val="left"/>
              <w:rPr/>
            </w:pPr>
            <w:r>
              <w:rPr/>
              <w:t>Applicable</w:t>
            </w:r>
          </w:p>
        </w:tc>
      </w:tr>
      <w:tr>
        <w:trPr/>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c>
          <w:tcPr>
            <w:tcW w:w="85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pPr>
            <w:r>
              <w:rPr/>
              <w:t>(d) Hedging Disruption:</w:t>
            </w:r>
          </w:p>
        </w:tc>
        <w:tc>
          <w:tcPr>
            <w:tcW w:w="8512" w:type="dxa"/>
            <w:tcBorders/>
            <w:vAlign w:val="center"/>
          </w:tcPr>
          <w:p>
            <w:pPr>
              <w:pStyle w:val="TableContents"/>
              <w:bidi w:val="0"/>
              <w:spacing w:before="0" w:after="0"/>
              <w:jc w:val="left"/>
              <w:rPr/>
            </w:pPr>
            <w:r>
              <w:rPr/>
              <w:t xml:space="preserve">Applicable; </w:t>
            </w:r>
            <w:r>
              <w:rPr>
                <w:i/>
              </w:rPr>
              <w:t>provided</w:t>
            </w:r>
            <w:r>
              <w:rPr/>
              <w:t xml:space="preserve"> that “Hedging Disruption” shall be amended in its entirety to mean that the Hedging Party is unable, after using commercially reasonable efforts to (A) acquire, establish, re-establish, substitute, maintain, unwind or dispose of any transaction(s) or asset(s) it deems necessary to hedge the equity price risk of entering into and performing its obligations with respect to the Transaction, or (B) realize, recover or remit the proceeds of any such transaction(s) or asset(s), </w:t>
            </w:r>
            <w:r>
              <w:rPr>
                <w:i/>
              </w:rPr>
              <w:t>provided</w:t>
            </w:r>
            <w:r>
              <w:rPr/>
              <w:t xml:space="preserve"> that any such inability that (1) is incurred solely due to the deterioration of the creditworthiness of the Hedging Party, or (2) arises solely as a result of a failure of a system within the control of the Hedging Party, shall not be deemed a Hedging Disruption, and, for the avoidance of doubt, (x) the term “equity price risk” shall be deemed to include, but shall not be limited to, stock price and volatility risk, and (y) the transactions or assets referred to in phrases (A) or (B) above must be available on commercially reasonable pricing and other terms; </w:t>
            </w:r>
            <w:r>
              <w:rPr>
                <w:i/>
              </w:rPr>
              <w:t>provided</w:t>
            </w:r>
            <w:r>
              <w:rPr/>
              <w:t> </w:t>
            </w:r>
            <w:r>
              <w:rPr>
                <w:i/>
              </w:rPr>
              <w:t>further</w:t>
            </w:r>
            <w:r>
              <w:rPr/>
              <w:t xml:space="preserve"> that Section 12.9(b)(iii) of the Equity Definitions is hereby amended by inserting in the third line thereof, after the words “to terminate the Transaction”, the words “or a portion of the Transaction affected by such Hedging Disruption”.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90" w:name="z163e53597a674919baed1f86828b6aa6"/>
      <w:bookmarkStart w:id="191" w:name="z163e53597a674919baed1f86828b6aa6"/>
      <w:bookmarkEnd w:id="191"/>
    </w:p>
    <w:tbl>
      <w:tblPr>
        <w:tblW w:w="10205" w:type="dxa"/>
        <w:jc w:val="left"/>
        <w:tblInd w:w="0" w:type="dxa"/>
        <w:tblLayout w:type="fixed"/>
        <w:tblCellMar>
          <w:top w:w="0" w:type="dxa"/>
          <w:left w:w="0" w:type="dxa"/>
          <w:bottom w:w="0" w:type="dxa"/>
          <w:right w:w="0" w:type="dxa"/>
        </w:tblCellMar>
      </w:tblPr>
      <w:tblGrid>
        <w:gridCol w:w="75"/>
        <w:gridCol w:w="65"/>
        <w:gridCol w:w="2135"/>
        <w:gridCol w:w="7930"/>
      </w:tblGrid>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pPr>
            <w:r>
              <w:rPr/>
              <w:t>(e) Increased Cost of Hedging:</w:t>
            </w:r>
          </w:p>
        </w:tc>
        <w:tc>
          <w:tcPr>
            <w:tcW w:w="7930" w:type="dxa"/>
            <w:tcBorders/>
            <w:vAlign w:val="center"/>
          </w:tcPr>
          <w:p>
            <w:pPr>
              <w:pStyle w:val="TableContents"/>
              <w:bidi w:val="0"/>
              <w:spacing w:before="0" w:after="0"/>
              <w:jc w:val="left"/>
              <w:rPr/>
            </w:pPr>
            <w:r>
              <w:rPr/>
              <w:t>Not Applicable</w:t>
            </w:r>
          </w:p>
        </w:tc>
      </w:tr>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c>
          <w:tcPr>
            <w:tcW w:w="7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00" w:type="dxa"/>
            <w:gridSpan w:val="2"/>
            <w:tcBorders/>
            <w:vAlign w:val="center"/>
          </w:tcPr>
          <w:p>
            <w:pPr>
              <w:pStyle w:val="TableContents"/>
              <w:bidi w:val="0"/>
              <w:spacing w:before="0" w:after="0"/>
              <w:jc w:val="left"/>
              <w:rPr/>
            </w:pPr>
            <w:r>
              <w:rPr/>
              <w:t>Hedging Party:</w:t>
            </w:r>
          </w:p>
        </w:tc>
        <w:tc>
          <w:tcPr>
            <w:tcW w:w="7930" w:type="dxa"/>
            <w:tcBorders/>
            <w:vAlign w:val="center"/>
          </w:tcPr>
          <w:p>
            <w:pPr>
              <w:pStyle w:val="TableContents"/>
              <w:bidi w:val="0"/>
              <w:spacing w:before="0" w:after="0"/>
              <w:jc w:val="left"/>
              <w:rPr/>
            </w:pPr>
            <w:r>
              <w:rPr/>
              <w:t>Dealer</w:t>
            </w:r>
          </w:p>
        </w:tc>
      </w:tr>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c>
          <w:tcPr>
            <w:tcW w:w="7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00" w:type="dxa"/>
            <w:gridSpan w:val="2"/>
            <w:tcBorders/>
            <w:vAlign w:val="center"/>
          </w:tcPr>
          <w:p>
            <w:pPr>
              <w:pStyle w:val="TableContents"/>
              <w:bidi w:val="0"/>
              <w:spacing w:before="0" w:after="0"/>
              <w:jc w:val="left"/>
              <w:rPr/>
            </w:pPr>
            <w:r>
              <w:rPr/>
              <w:t>Determining Party:</w:t>
            </w:r>
          </w:p>
        </w:tc>
        <w:tc>
          <w:tcPr>
            <w:tcW w:w="7930" w:type="dxa"/>
            <w:tcBorders/>
            <w:vAlign w:val="center"/>
          </w:tcPr>
          <w:p>
            <w:pPr>
              <w:pStyle w:val="TableContents"/>
              <w:bidi w:val="0"/>
              <w:spacing w:before="0" w:after="0"/>
              <w:jc w:val="left"/>
              <w:rPr/>
            </w:pPr>
            <w:r>
              <w:rPr/>
              <w:t xml:space="preserve">For all applicable Extraordinary Events, Dealer; </w:t>
            </w:r>
            <w:r>
              <w:rPr>
                <w:i/>
              </w:rPr>
              <w:t>provided</w:t>
            </w:r>
            <w:r>
              <w:rPr/>
              <w:t xml:space="preserve"> that, when making any determination or calculation as “Determining Party,” Dealer shall be bound by the same obligations relating to required acts of the Calculation Agent as set forth in Section 1.40 of the Equity Definitions and this Confirmation as if Determining Party were the Calculation Agent.</w:t>
            </w:r>
          </w:p>
          <w:p>
            <w:pPr>
              <w:pStyle w:val="TableContents"/>
              <w:bidi w:val="0"/>
              <w:spacing w:before="0" w:after="0"/>
              <w:jc w:val="left"/>
              <w:rPr/>
            </w:pPr>
            <w:r>
              <w:rPr/>
            </w:r>
          </w:p>
          <w:p>
            <w:pPr>
              <w:pStyle w:val="TableContents"/>
              <w:bidi w:val="0"/>
              <w:spacing w:before="0" w:after="0"/>
              <w:jc w:val="left"/>
              <w:rPr/>
            </w:pPr>
            <w:r>
              <w:rPr/>
              <w:t>Following any determination or calculation by Determining Party hereunder, upon a written request by Counterparty, Determining Party will promptly (but in any event within five Scheduled Trading Days) provide to Counterparty in writing a report (in a commonly used file format for the storage and manipulation of financial data) displaying in reasonable detail the basis for such determination or calculation (including any assumptions used in making such determination or calculation), it being understood that in no event will Determining Party be obligated to share with Counterparty any proprietary or confidential data or information or any proprietary or confidential models used by it in making such determination or calculation or any information that is subject to an obligation not to disclose such information.</w:t>
            </w:r>
          </w:p>
        </w:tc>
      </w:tr>
      <w:tr>
        <w:trPr/>
        <w:tc>
          <w:tcPr>
            <w:tcW w:w="75" w:type="dxa"/>
            <w:tcBorders/>
            <w:vAlign w:val="center"/>
          </w:tcPr>
          <w:p>
            <w:pPr>
              <w:pStyle w:val="TableContents"/>
              <w:bidi w:val="0"/>
              <w:spacing w:before="0" w:after="283"/>
              <w:jc w:val="left"/>
              <w:rPr/>
            </w:pPr>
            <w:r>
              <w:rPr/>
              <w:t> </w:t>
            </w:r>
          </w:p>
        </w:tc>
        <w:tc>
          <w:tcPr>
            <w:tcW w:w="2200" w:type="dxa"/>
            <w:gridSpan w:val="2"/>
            <w:tcBorders/>
            <w:vAlign w:val="center"/>
          </w:tcPr>
          <w:p>
            <w:pPr>
              <w:pStyle w:val="TableContents"/>
              <w:bidi w:val="0"/>
              <w:spacing w:before="0" w:after="283"/>
              <w:jc w:val="left"/>
              <w:rPr/>
            </w:pPr>
            <w:r>
              <w:rPr/>
              <w:t> </w:t>
            </w:r>
          </w:p>
        </w:tc>
        <w:tc>
          <w:tcPr>
            <w:tcW w:w="7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00" w:type="dxa"/>
            <w:gridSpan w:val="2"/>
            <w:tcBorders/>
            <w:vAlign w:val="center"/>
          </w:tcPr>
          <w:p>
            <w:pPr>
              <w:pStyle w:val="TableContents"/>
              <w:bidi w:val="0"/>
              <w:spacing w:before="0" w:after="0"/>
              <w:jc w:val="left"/>
              <w:rPr/>
            </w:pPr>
            <w:r>
              <w:rPr/>
              <w:t>Non-Reliance:</w:t>
            </w:r>
          </w:p>
        </w:tc>
        <w:tc>
          <w:tcPr>
            <w:tcW w:w="7930" w:type="dxa"/>
            <w:tcBorders/>
            <w:vAlign w:val="center"/>
          </w:tcPr>
          <w:p>
            <w:pPr>
              <w:pStyle w:val="TableContents"/>
              <w:bidi w:val="0"/>
              <w:spacing w:before="0" w:after="0"/>
              <w:jc w:val="left"/>
              <w:rPr/>
            </w:pPr>
            <w:r>
              <w:rPr/>
              <w:t>Applicable</w:t>
            </w:r>
          </w:p>
        </w:tc>
      </w:tr>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c>
          <w:tcPr>
            <w:tcW w:w="7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00" w:type="dxa"/>
            <w:gridSpan w:val="2"/>
            <w:tcBorders/>
            <w:vAlign w:val="center"/>
          </w:tcPr>
          <w:p>
            <w:pPr>
              <w:pStyle w:val="TableContents"/>
              <w:bidi w:val="0"/>
              <w:spacing w:before="0" w:after="0"/>
              <w:jc w:val="left"/>
              <w:rPr/>
            </w:pPr>
            <w:r>
              <w:rPr/>
              <w:t>Agreements and Acknowledgments Regarding Hedging Activities:</w:t>
            </w:r>
          </w:p>
        </w:tc>
        <w:tc>
          <w:tcPr>
            <w:tcW w:w="7930" w:type="dxa"/>
            <w:tcBorders/>
            <w:vAlign w:val="center"/>
          </w:tcPr>
          <w:p>
            <w:pPr>
              <w:pStyle w:val="TableContents"/>
              <w:bidi w:val="0"/>
              <w:spacing w:before="0" w:after="0"/>
              <w:jc w:val="left"/>
              <w:rPr/>
            </w:pPr>
            <w:r>
              <w:rPr/>
              <w:t>Applicable</w:t>
            </w:r>
          </w:p>
        </w:tc>
      </w:tr>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c>
          <w:tcPr>
            <w:tcW w:w="7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00" w:type="dxa"/>
            <w:gridSpan w:val="2"/>
            <w:tcBorders/>
            <w:vAlign w:val="center"/>
          </w:tcPr>
          <w:p>
            <w:pPr>
              <w:pStyle w:val="TableContents"/>
              <w:bidi w:val="0"/>
              <w:spacing w:before="0" w:after="0"/>
              <w:jc w:val="left"/>
              <w:rPr/>
            </w:pPr>
            <w:r>
              <w:rPr/>
              <w:t>Additional Acknowledgments:</w:t>
            </w:r>
          </w:p>
        </w:tc>
        <w:tc>
          <w:tcPr>
            <w:tcW w:w="7930" w:type="dxa"/>
            <w:tcBorders/>
            <w:vAlign w:val="center"/>
          </w:tcPr>
          <w:p>
            <w:pPr>
              <w:pStyle w:val="TableContents"/>
              <w:bidi w:val="0"/>
              <w:spacing w:before="0" w:after="0"/>
              <w:jc w:val="left"/>
              <w:rPr/>
            </w:pPr>
            <w:r>
              <w:rPr/>
              <w:t>Applicable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2" w:name="z11a06ed2e91e49ee8afdf5407f29cca0"/>
      <w:bookmarkStart w:id="193" w:name="z11a06ed2e91e49ee8afdf5407f29cca0"/>
      <w:bookmarkEnd w:id="193"/>
    </w:p>
    <w:tbl>
      <w:tblPr>
        <w:tblW w:w="10205" w:type="dxa"/>
        <w:jc w:val="left"/>
        <w:tblInd w:w="0" w:type="dxa"/>
        <w:tblLayout w:type="fixed"/>
        <w:tblCellMar>
          <w:top w:w="0" w:type="dxa"/>
          <w:left w:w="0" w:type="dxa"/>
          <w:bottom w:w="0" w:type="dxa"/>
          <w:right w:w="0" w:type="dxa"/>
        </w:tblCellMar>
      </w:tblPr>
      <w:tblGrid>
        <w:gridCol w:w="1136"/>
        <w:gridCol w:w="9069"/>
      </w:tblGrid>
      <w:tr>
        <w:trPr/>
        <w:tc>
          <w:tcPr>
            <w:tcW w:w="1136" w:type="dxa"/>
            <w:tcBorders/>
            <w:vAlign w:val="center"/>
          </w:tcPr>
          <w:p>
            <w:pPr>
              <w:pStyle w:val="TableContents"/>
              <w:bidi w:val="0"/>
              <w:spacing w:before="0" w:after="0"/>
              <w:jc w:val="left"/>
              <w:rPr>
                <w:sz w:val="24"/>
              </w:rPr>
            </w:pPr>
            <w:r>
              <w:rPr>
                <w:color w:val="000000"/>
                <w:sz w:val="20"/>
              </w:rPr>
              <w:t xml:space="preserve">3. </w:t>
            </w:r>
            <w:r>
              <w:rPr>
                <w:b/>
                <w:sz w:val="20"/>
                <w:u w:val="single"/>
              </w:rPr>
              <w:t>Calculation Agent</w:t>
            </w:r>
            <w:r>
              <w:rPr>
                <w:sz w:val="20"/>
              </w:rPr>
              <w:t>:</w:t>
            </w:r>
          </w:p>
        </w:tc>
        <w:tc>
          <w:tcPr>
            <w:tcW w:w="9069" w:type="dxa"/>
            <w:tcBorders/>
            <w:vAlign w:val="center"/>
          </w:tcPr>
          <w:p>
            <w:pPr>
              <w:pStyle w:val="TableContents"/>
              <w:bidi w:val="0"/>
              <w:spacing w:before="0" w:after="0"/>
              <w:jc w:val="left"/>
              <w:rPr/>
            </w:pPr>
            <w:r>
              <w:rPr/>
              <w:t xml:space="preserve">Dealer; </w:t>
            </w:r>
            <w:r>
              <w:rPr>
                <w:i/>
              </w:rPr>
              <w:t>provided</w:t>
            </w:r>
            <w:r>
              <w:rPr/>
              <w:t xml:space="preserve"> that, following the occurrence and during the continuance of an Event of Default pursuant to Section 5(a)(vii) of the Agreement with respect to which Dealer is the sole Defaulting Party, Counterparty shall have the right to designate a nationally recognized third party dealer in over-the-counter corporate equity derivatives to replace Dealer as the Calculation Agent, and the parties shall work in good faith to execute any appropriate documentation required by such replacement Calculation Agent.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94" w:name="zd1e10a094e6548d083247519e359cd72"/>
      <w:bookmarkStart w:id="195" w:name="zd1e10a094e6548d083247519e359cd72"/>
      <w:bookmarkEnd w:id="195"/>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jc w:val="left"/>
              <w:rPr/>
            </w:pPr>
            <w:r>
              <w:rPr/>
              <w:t>Following any adjustment, determination or calculation by the Calculation Agent hereunder, upon a written request by Counterparty, the Calculation Agent will promptly (but in any event within five Scheduled Trading Days) provide to Counterparty in writing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 </w:t>
      </w:r>
      <w:r>
        <w:rPr>
          <w:rFonts w:ascii="Times New Roman" w:hAnsi="Times New Roman"/>
          <w:b/>
          <w:color w:val="000000"/>
          <w:sz w:val="20"/>
          <w:u w:val="single"/>
        </w:rPr>
        <w:t>Account Details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Dealer Payment Instructions:</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[________]</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Counterparty Payment Instructions:</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[________]</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 </w:t>
      </w:r>
      <w:r>
        <w:rPr>
          <w:rFonts w:ascii="Times New Roman" w:hAnsi="Times New Roman"/>
          <w:b/>
          <w:color w:val="000000"/>
          <w:sz w:val="20"/>
          <w:u w:val="single"/>
        </w:rPr>
        <w:t>Offices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The Office of Dealer for the Transaction is: [____________]</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The Office of Counterparty for the Transaction is: Inapplicable, Counterparty is not a Multibranch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6. </w:t>
      </w:r>
      <w:r>
        <w:rPr>
          <w:rFonts w:ascii="Times New Roman" w:hAnsi="Times New Roman"/>
          <w:b/>
          <w:color w:val="000000"/>
          <w:sz w:val="20"/>
          <w:u w:val="single"/>
        </w:rPr>
        <w:t>Notices</w:t>
      </w:r>
      <w:r>
        <w:rPr>
          <w:rFonts w:ascii="Times New Roman" w:hAnsi="Times New Roman"/>
          <w:color w:val="000000"/>
          <w:sz w:val="20"/>
        </w:rPr>
        <w:t>: For purposes of this Confirmation: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Address for notices or communications to Counterparty:</w:t>
      </w:r>
    </w:p>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196" w:name="z1791cb6f04744323b06f2b2167cbbc23"/>
      <w:bookmarkStart w:id="197" w:name="z1791cb6f04744323b06f2b2167cbbc23"/>
      <w:bookmarkEnd w:id="197"/>
    </w:p>
    <w:tbl>
      <w:tblPr>
        <w:tblW w:w="4825" w:type="dxa"/>
        <w:jc w:val="left"/>
        <w:tblInd w:w="1440" w:type="dxa"/>
        <w:tblLayout w:type="fixed"/>
        <w:tblCellMar>
          <w:top w:w="0" w:type="dxa"/>
          <w:left w:w="0" w:type="dxa"/>
          <w:bottom w:w="0" w:type="dxa"/>
          <w:right w:w="0" w:type="dxa"/>
        </w:tblCellMar>
      </w:tblPr>
      <w:tblGrid>
        <w:gridCol w:w="965"/>
        <w:gridCol w:w="3860"/>
      </w:tblGrid>
      <w:tr>
        <w:trPr/>
        <w:tc>
          <w:tcPr>
            <w:tcW w:w="965" w:type="dxa"/>
            <w:tcBorders/>
            <w:vAlign w:val="center"/>
          </w:tcPr>
          <w:p>
            <w:pPr>
              <w:pStyle w:val="TableContents"/>
              <w:bidi w:val="0"/>
              <w:spacing w:before="0" w:after="0"/>
              <w:jc w:val="left"/>
              <w:rPr>
                <w:color w:val="000000"/>
              </w:rPr>
            </w:pPr>
            <w:r>
              <w:rPr>
                <w:color w:val="000000"/>
              </w:rPr>
              <w:t>To:</w:t>
            </w:r>
          </w:p>
        </w:tc>
        <w:tc>
          <w:tcPr>
            <w:tcW w:w="3860" w:type="dxa"/>
            <w:tcBorders/>
            <w:vAlign w:val="center"/>
          </w:tcPr>
          <w:p>
            <w:pPr>
              <w:pStyle w:val="TableContents"/>
              <w:bidi w:val="0"/>
              <w:spacing w:before="0" w:after="0"/>
              <w:jc w:val="left"/>
              <w:rPr>
                <w:color w:val="000000"/>
              </w:rPr>
            </w:pPr>
            <w:r>
              <w:rPr>
                <w:color w:val="000000"/>
              </w:rPr>
              <w:t>Opendoor Technologies Inc.</w:t>
            </w:r>
          </w:p>
        </w:tc>
      </w:tr>
      <w:tr>
        <w:trPr/>
        <w:tc>
          <w:tcPr>
            <w:tcW w:w="96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color w:val="000000"/>
              </w:rPr>
            </w:pPr>
            <w:r>
              <w:rPr>
                <w:color w:val="000000"/>
              </w:rPr>
              <w:t>1295 West Washington Street, Suite 115</w:t>
            </w:r>
          </w:p>
        </w:tc>
      </w:tr>
      <w:tr>
        <w:trPr/>
        <w:tc>
          <w:tcPr>
            <w:tcW w:w="96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color w:val="000000"/>
              </w:rPr>
            </w:pPr>
            <w:r>
              <w:rPr>
                <w:color w:val="000000"/>
              </w:rPr>
              <w:t>Tempe, AZ, 85288</w:t>
            </w:r>
          </w:p>
        </w:tc>
      </w:tr>
      <w:tr>
        <w:trPr/>
        <w:tc>
          <w:tcPr>
            <w:tcW w:w="965" w:type="dxa"/>
            <w:tcBorders/>
            <w:vAlign w:val="center"/>
          </w:tcPr>
          <w:p>
            <w:pPr>
              <w:pStyle w:val="TableContents"/>
              <w:bidi w:val="0"/>
              <w:spacing w:before="0" w:after="0"/>
              <w:jc w:val="left"/>
              <w:rPr>
                <w:color w:val="000000"/>
              </w:rPr>
            </w:pPr>
            <w:r>
              <w:rPr>
                <w:color w:val="000000"/>
              </w:rPr>
              <w:t>Attention:</w:t>
            </w:r>
          </w:p>
        </w:tc>
        <w:tc>
          <w:tcPr>
            <w:tcW w:w="3860" w:type="dxa"/>
            <w:tcBorders/>
            <w:vAlign w:val="center"/>
          </w:tcPr>
          <w:p>
            <w:pPr>
              <w:pStyle w:val="TableContents"/>
              <w:bidi w:val="0"/>
              <w:spacing w:before="0" w:after="0"/>
              <w:jc w:val="left"/>
              <w:rPr>
                <w:color w:val="000000"/>
              </w:rPr>
            </w:pPr>
            <w:r>
              <w:rPr>
                <w:color w:val="000000"/>
              </w:rPr>
              <w:t>Chief Legal Officer</w:t>
            </w:r>
          </w:p>
        </w:tc>
      </w:tr>
      <w:tr>
        <w:trPr/>
        <w:tc>
          <w:tcPr>
            <w:tcW w:w="965" w:type="dxa"/>
            <w:tcBorders/>
            <w:vAlign w:val="center"/>
          </w:tcPr>
          <w:p>
            <w:pPr>
              <w:pStyle w:val="TableContents"/>
              <w:bidi w:val="0"/>
              <w:spacing w:before="0" w:after="0"/>
              <w:jc w:val="left"/>
              <w:rPr>
                <w:color w:val="000000"/>
              </w:rPr>
            </w:pPr>
            <w:r>
              <w:rPr>
                <w:color w:val="000000"/>
              </w:rPr>
              <w:t>Email:</w:t>
            </w:r>
          </w:p>
        </w:tc>
        <w:tc>
          <w:tcPr>
            <w:tcW w:w="3860" w:type="dxa"/>
            <w:tcBorders/>
            <w:vAlign w:val="center"/>
          </w:tcPr>
          <w:p>
            <w:pPr>
              <w:pStyle w:val="TableContents"/>
              <w:bidi w:val="0"/>
              <w:spacing w:before="0" w:after="0"/>
              <w:jc w:val="left"/>
              <w:rPr>
                <w:color w:val="000000"/>
              </w:rPr>
            </w:pPr>
            <w:r>
              <w:rPr>
                <w:color w:val="000000"/>
              </w:rPr>
              <w:t>legal@opendoor.com</w:t>
            </w:r>
          </w:p>
        </w:tc>
      </w:tr>
    </w:tbl>
    <w:p>
      <w:pPr>
        <w:pStyle w:val="TextBody"/>
        <w:bidi w:val="0"/>
        <w:spacing w:before="0" w:after="0"/>
        <w:ind w:left="1440" w:right="0" w:hanging="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Address for notices or communications to Dealer:</w:t>
      </w:r>
    </w:p>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198" w:name="zae4842c512e9466da2a350706fff8643"/>
      <w:bookmarkStart w:id="199" w:name="zae4842c512e9466da2a350706fff8643"/>
      <w:bookmarkEnd w:id="199"/>
    </w:p>
    <w:tbl>
      <w:tblPr>
        <w:tblW w:w="2725" w:type="dxa"/>
        <w:jc w:val="left"/>
        <w:tblInd w:w="1440" w:type="dxa"/>
        <w:tblLayout w:type="fixed"/>
        <w:tblCellMar>
          <w:top w:w="0" w:type="dxa"/>
          <w:left w:w="0" w:type="dxa"/>
          <w:bottom w:w="0" w:type="dxa"/>
          <w:right w:w="0" w:type="dxa"/>
        </w:tblCellMar>
      </w:tblPr>
      <w:tblGrid>
        <w:gridCol w:w="1100"/>
        <w:gridCol w:w="1625"/>
      </w:tblGrid>
      <w:tr>
        <w:trPr/>
        <w:tc>
          <w:tcPr>
            <w:tcW w:w="1100" w:type="dxa"/>
            <w:tcBorders/>
            <w:vAlign w:val="center"/>
          </w:tcPr>
          <w:p>
            <w:pPr>
              <w:pStyle w:val="TableContents"/>
              <w:bidi w:val="0"/>
              <w:spacing w:before="0" w:after="0"/>
              <w:jc w:val="left"/>
              <w:rPr/>
            </w:pPr>
            <w:r>
              <w:rPr/>
              <w:t>To:</w:t>
            </w:r>
          </w:p>
        </w:tc>
        <w:tc>
          <w:tcPr>
            <w:tcW w:w="1625" w:type="dxa"/>
            <w:tcBorders/>
            <w:vAlign w:val="center"/>
          </w:tcPr>
          <w:p>
            <w:pPr>
              <w:pStyle w:val="TableContents"/>
              <w:bidi w:val="0"/>
              <w:spacing w:before="0" w:after="0"/>
              <w:jc w:val="left"/>
              <w:rPr/>
            </w:pPr>
            <w:r>
              <w:rPr/>
              <w:t>[____________]</w:t>
            </w:r>
          </w:p>
        </w:tc>
      </w:tr>
      <w:tr>
        <w:trPr/>
        <w:tc>
          <w:tcPr>
            <w:tcW w:w="110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pPr>
            <w:r>
              <w:rPr/>
              <w:t>Attention:</w:t>
            </w:r>
          </w:p>
        </w:tc>
        <w:tc>
          <w:tcPr>
            <w:tcW w:w="1625" w:type="dxa"/>
            <w:tcBorders/>
            <w:vAlign w:val="center"/>
          </w:tcPr>
          <w:p>
            <w:pPr>
              <w:pStyle w:val="TableContents"/>
              <w:bidi w:val="0"/>
              <w:spacing w:before="0" w:after="0"/>
              <w:jc w:val="left"/>
              <w:rPr/>
            </w:pPr>
            <w:r>
              <w:rPr/>
              <w:t>[____________]</w:t>
            </w:r>
          </w:p>
        </w:tc>
      </w:tr>
      <w:tr>
        <w:trPr/>
        <w:tc>
          <w:tcPr>
            <w:tcW w:w="1100" w:type="dxa"/>
            <w:tcBorders/>
            <w:vAlign w:val="center"/>
          </w:tcPr>
          <w:p>
            <w:pPr>
              <w:pStyle w:val="TableContents"/>
              <w:bidi w:val="0"/>
              <w:spacing w:before="0" w:after="0"/>
              <w:jc w:val="left"/>
              <w:rPr/>
            </w:pPr>
            <w:r>
              <w:rPr/>
              <w:t>Telephone:</w:t>
            </w:r>
          </w:p>
        </w:tc>
        <w:tc>
          <w:tcPr>
            <w:tcW w:w="1625" w:type="dxa"/>
            <w:tcBorders/>
            <w:vAlign w:val="center"/>
          </w:tcPr>
          <w:p>
            <w:pPr>
              <w:pStyle w:val="TableContents"/>
              <w:bidi w:val="0"/>
              <w:spacing w:before="0" w:after="0"/>
              <w:jc w:val="left"/>
              <w:rPr/>
            </w:pPr>
            <w:r>
              <w:rPr/>
              <w:t>[____________]</w:t>
            </w:r>
          </w:p>
        </w:tc>
      </w:tr>
      <w:tr>
        <w:trPr/>
        <w:tc>
          <w:tcPr>
            <w:tcW w:w="1100" w:type="dxa"/>
            <w:tcBorders/>
            <w:vAlign w:val="center"/>
          </w:tcPr>
          <w:p>
            <w:pPr>
              <w:pStyle w:val="TableContents"/>
              <w:bidi w:val="0"/>
              <w:spacing w:before="0" w:after="0"/>
              <w:jc w:val="left"/>
              <w:rPr/>
            </w:pPr>
            <w:r>
              <w:rPr/>
              <w:t>Email:</w:t>
            </w:r>
          </w:p>
        </w:tc>
        <w:tc>
          <w:tcPr>
            <w:tcW w:w="1625" w:type="dxa"/>
            <w:tcBorders/>
            <w:vAlign w:val="center"/>
          </w:tcPr>
          <w:p>
            <w:pPr>
              <w:pStyle w:val="TableContents"/>
              <w:bidi w:val="0"/>
              <w:spacing w:before="0" w:after="0"/>
              <w:jc w:val="left"/>
              <w:rPr/>
            </w:pPr>
            <w:r>
              <w:rPr/>
              <w:t>[____________]</w:t>
            </w:r>
          </w:p>
        </w:tc>
      </w:tr>
    </w:tbl>
    <w:p>
      <w:pPr>
        <w:pStyle w:val="TextBody"/>
        <w:bidi w:val="0"/>
        <w:spacing w:before="0" w:after="0"/>
        <w:ind w:left="1440" w:right="0" w:hanging="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With a copy to:</w:t>
      </w:r>
    </w:p>
    <w:p>
      <w:pPr>
        <w:pStyle w:val="TextBody"/>
        <w:bidi w:val="0"/>
        <w:spacing w:before="0" w:after="0"/>
        <w:jc w:val="left"/>
        <w:rPr/>
      </w:pPr>
      <w:r>
        <w:rPr/>
      </w:r>
    </w:p>
    <w:p>
      <w:pPr>
        <w:pStyle w:val="Normal"/>
        <w:bidi w:val="0"/>
        <w:spacing w:before="0" w:after="0"/>
        <w:ind w:left="1440" w:right="0" w:hanging="0"/>
        <w:jc w:val="left"/>
        <w:rPr>
          <w:sz w:val="4"/>
          <w:szCs w:val="4"/>
        </w:rPr>
      </w:pPr>
      <w:r>
        <w:rPr>
          <w:sz w:val="4"/>
          <w:szCs w:val="4"/>
        </w:rPr>
      </w:r>
      <w:bookmarkStart w:id="200" w:name="z42eee6ad367a4ee697e165de570bdd85"/>
      <w:bookmarkStart w:id="201" w:name="z42eee6ad367a4ee697e165de570bdd85"/>
      <w:bookmarkEnd w:id="201"/>
    </w:p>
    <w:tbl>
      <w:tblPr>
        <w:tblW w:w="2725" w:type="dxa"/>
        <w:jc w:val="left"/>
        <w:tblInd w:w="1440" w:type="dxa"/>
        <w:tblLayout w:type="fixed"/>
        <w:tblCellMar>
          <w:top w:w="0" w:type="dxa"/>
          <w:left w:w="0" w:type="dxa"/>
          <w:bottom w:w="0" w:type="dxa"/>
          <w:right w:w="0" w:type="dxa"/>
        </w:tblCellMar>
      </w:tblPr>
      <w:tblGrid>
        <w:gridCol w:w="1100"/>
        <w:gridCol w:w="1625"/>
      </w:tblGrid>
      <w:tr>
        <w:trPr/>
        <w:tc>
          <w:tcPr>
            <w:tcW w:w="1100" w:type="dxa"/>
            <w:tcBorders/>
            <w:vAlign w:val="center"/>
          </w:tcPr>
          <w:p>
            <w:pPr>
              <w:pStyle w:val="TableContents"/>
              <w:bidi w:val="0"/>
              <w:spacing w:before="0" w:after="0"/>
              <w:jc w:val="left"/>
              <w:rPr/>
            </w:pPr>
            <w:r>
              <w:rPr/>
              <w:t>To:</w:t>
            </w:r>
          </w:p>
        </w:tc>
        <w:tc>
          <w:tcPr>
            <w:tcW w:w="1625" w:type="dxa"/>
            <w:tcBorders/>
            <w:vAlign w:val="center"/>
          </w:tcPr>
          <w:p>
            <w:pPr>
              <w:pStyle w:val="TableContents"/>
              <w:bidi w:val="0"/>
              <w:spacing w:before="0" w:after="0"/>
              <w:jc w:val="left"/>
              <w:rPr/>
            </w:pPr>
            <w:r>
              <w:rPr/>
              <w:t>[____________]</w:t>
            </w:r>
          </w:p>
        </w:tc>
      </w:tr>
      <w:tr>
        <w:trPr/>
        <w:tc>
          <w:tcPr>
            <w:tcW w:w="110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pPr>
            <w:r>
              <w:rPr/>
              <w:t>Attention:</w:t>
            </w:r>
          </w:p>
        </w:tc>
        <w:tc>
          <w:tcPr>
            <w:tcW w:w="1625" w:type="dxa"/>
            <w:tcBorders/>
            <w:vAlign w:val="center"/>
          </w:tcPr>
          <w:p>
            <w:pPr>
              <w:pStyle w:val="TableContents"/>
              <w:bidi w:val="0"/>
              <w:spacing w:before="0" w:after="0"/>
              <w:jc w:val="left"/>
              <w:rPr/>
            </w:pPr>
            <w:r>
              <w:rPr/>
              <w:t>[____________]</w:t>
            </w:r>
          </w:p>
        </w:tc>
      </w:tr>
      <w:tr>
        <w:trPr/>
        <w:tc>
          <w:tcPr>
            <w:tcW w:w="1100" w:type="dxa"/>
            <w:tcBorders/>
            <w:vAlign w:val="center"/>
          </w:tcPr>
          <w:p>
            <w:pPr>
              <w:pStyle w:val="TableContents"/>
              <w:bidi w:val="0"/>
              <w:spacing w:before="0" w:after="0"/>
              <w:jc w:val="left"/>
              <w:rPr/>
            </w:pPr>
            <w:r>
              <w:rPr/>
              <w:t>Telephone:</w:t>
            </w:r>
          </w:p>
        </w:tc>
        <w:tc>
          <w:tcPr>
            <w:tcW w:w="1625" w:type="dxa"/>
            <w:tcBorders/>
            <w:vAlign w:val="center"/>
          </w:tcPr>
          <w:p>
            <w:pPr>
              <w:pStyle w:val="TableContents"/>
              <w:bidi w:val="0"/>
              <w:spacing w:before="0" w:after="0"/>
              <w:jc w:val="left"/>
              <w:rPr/>
            </w:pPr>
            <w:r>
              <w:rPr/>
              <w:t>[____________]</w:t>
            </w:r>
          </w:p>
        </w:tc>
      </w:tr>
      <w:tr>
        <w:trPr/>
        <w:tc>
          <w:tcPr>
            <w:tcW w:w="1100" w:type="dxa"/>
            <w:tcBorders/>
            <w:vAlign w:val="center"/>
          </w:tcPr>
          <w:p>
            <w:pPr>
              <w:pStyle w:val="TableContents"/>
              <w:bidi w:val="0"/>
              <w:spacing w:before="0" w:after="0"/>
              <w:jc w:val="left"/>
              <w:rPr/>
            </w:pPr>
            <w:r>
              <w:rPr/>
              <w:t>Email:</w:t>
            </w:r>
          </w:p>
        </w:tc>
        <w:tc>
          <w:tcPr>
            <w:tcW w:w="1625" w:type="dxa"/>
            <w:tcBorders/>
            <w:vAlign w:val="center"/>
          </w:tcPr>
          <w:p>
            <w:pPr>
              <w:pStyle w:val="TableContents"/>
              <w:bidi w:val="0"/>
              <w:spacing w:before="0" w:after="0"/>
              <w:jc w:val="left"/>
              <w:rPr/>
            </w:pPr>
            <w:r>
              <w:rPr/>
              <w:t>[____________]</w:t>
            </w:r>
          </w:p>
        </w:tc>
      </w:tr>
    </w:tbl>
    <w:p>
      <w:pPr>
        <w:pStyle w:val="TextBody"/>
        <w:bidi w:val="0"/>
        <w:spacing w:before="0" w:after="0"/>
        <w:ind w:left="1440" w:right="0" w:hanging="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For the avoidance of doubt, any notice or other communication delivered by electronic messaging system, e-mail or facsimile transmission shall be deemed to be “in writing.”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7. </w:t>
      </w:r>
      <w:r>
        <w:rPr>
          <w:rFonts w:ascii="Times New Roman" w:hAnsi="Times New Roman"/>
          <w:b/>
          <w:color w:val="000000"/>
          <w:sz w:val="20"/>
          <w:u w:val="single"/>
        </w:rPr>
        <w:t>Representations, Warranties and Agreements</w:t>
      </w:r>
      <w:r>
        <w:rPr>
          <w:rFonts w:ascii="Times New Roman" w:hAnsi="Times New Roman"/>
          <w:color w:val="000000"/>
          <w:sz w:val="20"/>
          <w:u w:val="single"/>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(i) On the Trade Date (A) Counterparty is not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(ii) On the Trade Date, (A) the Shares or securities that are convertible into, or exchangeable or exercisable for Shares, are not, and shall not be, subject to a “restricted period,” as such term is defined in Regulation M under the Exchange Act (“</w:t>
      </w:r>
      <w:r>
        <w:rPr>
          <w:rFonts w:ascii="Times New Roman" w:hAnsi="Times New Roman"/>
          <w:b/>
          <w:color w:val="000000"/>
          <w:sz w:val="20"/>
        </w:rPr>
        <w:t>Regulation M</w:t>
      </w:r>
      <w:r>
        <w:rPr>
          <w:rFonts w:ascii="Times New Roman" w:hAnsi="Times New Roman"/>
          <w:color w:val="000000"/>
          <w:sz w:val="20"/>
        </w:rPr>
        <w:t>”), and (B) Counterparty is not engaged in any “distribution,” as such term is defined in Regulation M, other than a distribution meeting the requirements of the exceptions set forth in Rules 101(b)(10) and 102(b)(7) or Rule 102(c)(1)(i) of Regulation M. Counterparty shall not, until the third Exchange Business Day immediately following the Trade Date, engage in any such distribution.</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 xml:space="preserve">(iii)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 w:hAnsi="Times New Roman"/>
          <w:i/>
          <w:color w:val="000000"/>
          <w:sz w:val="20"/>
        </w:rPr>
        <w:t>Earnings Per Share</w:t>
      </w:r>
      <w:r>
        <w:rPr>
          <w:rFonts w:ascii="Times New Roman" w:hAnsi="Times New Roman"/>
          <w:color w:val="000000"/>
          <w:sz w:val="20"/>
        </w:rPr>
        <w:t xml:space="preserve">, ASC Topic 815, </w:t>
      </w:r>
      <w:r>
        <w:rPr>
          <w:rFonts w:ascii="Times New Roman" w:hAnsi="Times New Roman"/>
          <w:i/>
          <w:color w:val="000000"/>
          <w:sz w:val="20"/>
        </w:rPr>
        <w:t>Derivatives and Hedging</w:t>
      </w:r>
      <w:r>
        <w:rPr>
          <w:rFonts w:ascii="Times New Roman" w:hAnsi="Times New Roman"/>
          <w:color w:val="000000"/>
          <w:sz w:val="20"/>
        </w:rPr>
        <w:t xml:space="preserve">, or </w:t>
      </w:r>
      <w:r>
        <w:rPr>
          <w:rFonts w:ascii="Times New Roman" w:hAnsi="Times New Roman"/>
          <w:i/>
          <w:color w:val="000000"/>
          <w:sz w:val="20"/>
        </w:rPr>
        <w:t>ASC Topic 480,</w:t>
      </w:r>
      <w:r>
        <w:rPr>
          <w:rFonts w:ascii="Times New Roman" w:hAnsi="Times New Roman"/>
          <w:color w:val="000000"/>
          <w:sz w:val="20"/>
        </w:rPr>
        <w:t> </w:t>
      </w:r>
      <w:r>
        <w:rPr>
          <w:rFonts w:ascii="Times New Roman" w:hAnsi="Times New Roman"/>
          <w:i/>
          <w:color w:val="000000"/>
          <w:sz w:val="20"/>
        </w:rPr>
        <w:t>Distinguishing Liabilities from Equity</w:t>
      </w:r>
      <w:r>
        <w:rPr>
          <w:rFonts w:ascii="Times New Roman" w:hAnsi="Times New Roman"/>
          <w:color w:val="000000"/>
          <w:sz w:val="20"/>
        </w:rPr>
        <w:t xml:space="preserve"> and ASC </w:t>
      </w:r>
      <w:r>
        <w:rPr>
          <w:rFonts w:ascii="Times New Roman" w:hAnsi="Times New Roman"/>
          <w:i/>
          <w:color w:val="000000"/>
          <w:sz w:val="20"/>
        </w:rPr>
        <w:t>815-40,</w:t>
      </w:r>
      <w:r>
        <w:rPr>
          <w:rFonts w:ascii="Times New Roman" w:hAnsi="Times New Roman"/>
          <w:color w:val="000000"/>
          <w:sz w:val="20"/>
        </w:rPr>
        <w:t> </w:t>
      </w:r>
      <w:r>
        <w:rPr>
          <w:rFonts w:ascii="Times New Roman" w:hAnsi="Times New Roman"/>
          <w:i/>
          <w:color w:val="000000"/>
          <w:sz w:val="20"/>
        </w:rPr>
        <w:t>Derivatives and Hedging</w:t>
      </w:r>
      <w:r>
        <w:rPr>
          <w:rFonts w:ascii="Times New Roman" w:hAnsi="Times New Roman"/>
          <w:color w:val="000000"/>
          <w:sz w:val="20"/>
        </w:rPr>
        <w:t xml:space="preserve"> – </w:t>
      </w:r>
      <w:r>
        <w:rPr>
          <w:rFonts w:ascii="Times New Roman" w:hAnsi="Times New Roman"/>
          <w:i/>
          <w:color w:val="000000"/>
          <w:sz w:val="20"/>
        </w:rPr>
        <w:t>Contracts in Entity’s Own Equity</w:t>
      </w:r>
      <w:r>
        <w:rPr>
          <w:rFonts w:ascii="Times New Roman" w:hAnsi="Times New Roman"/>
          <w:color w:val="000000"/>
          <w:sz w:val="20"/>
        </w:rPr>
        <w:t xml:space="preserve"> (or any successor issue statements).</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(iv)  Without limiting the generality of Section 3(a)(iii) of the Agreement, the Transaction will not violate Rule 13e-1 or Rule 13e-4 under the Exchange Act.</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(v) On or prior to the Trade Date, Counterparty shall deliver to Dealer a resolution of Counterparty’s board of directors authorizing the Transaction.</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(vi) 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(vii)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(viii) On and immediately after each of the Trade Date and the Premium Payment Date, Counterparty is not “insolvent” (as such term is defined under Section 101(32) of the U.S. Bankruptcy Code (Title 11 of the United States Code) (the “</w:t>
      </w:r>
      <w:r>
        <w:rPr>
          <w:rFonts w:ascii="Times New Roman" w:hAnsi="Times New Roman"/>
          <w:b/>
          <w:color w:val="000000"/>
          <w:sz w:val="20"/>
        </w:rPr>
        <w:t>Bankruptcy Code</w:t>
      </w:r>
      <w:r>
        <w:rPr>
          <w:rFonts w:ascii="Times New Roman" w:hAnsi="Times New Roman"/>
          <w:color w:val="000000"/>
          <w:sz w:val="20"/>
        </w:rPr>
        <w:t>”)) and Counterparty would be able to purchase the aggregate Number of Shares for the Transaction in compliance with the laws of the jurisdiction of Counterparty’s incorporation (including the adequate surplus and capital requirements of Sections 154 and 160 of the General Corporation Law of the State of Delaware).</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 xml:space="preserve">(ix) To Counterparty’s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hAnsi="Times New Roman"/>
          <w:i/>
          <w:color w:val="000000"/>
          <w:sz w:val="20"/>
        </w:rPr>
        <w:t>provided</w:t>
      </w:r>
      <w:r>
        <w:rPr>
          <w:rFonts w:ascii="Times New Roman" w:hAnsi="Times New Roman"/>
          <w:color w:val="000000"/>
          <w:sz w:val="20"/>
        </w:rPr>
        <w:t xml:space="preserve"> that no such representation shall be made by Counterparty with respect to any rules and regulations applicable to Dealer (including any rules and regulations of the Financial Industry Regulatory Authority, Inc.) arising from Dealer’s status as a regulated entity under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(x) 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 as of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Each of Dealer and Counterparty agrees and represents that it is an “eligible contract participant” as defined in Section 1a(18) of the U.S. Commodity Exchange Act,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Each of Dealer and Counterparty agrees and acknowledges that Dealer is a “financial institution,” “swap participant” and “financial participant” within the meaning of Sections 101(22),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 As a condition to the effectiveness of the Transaction, Counterparty shall deliver to Dealer an opinion of counsel, dated as of the Effective Date and reasonably acceptable to Dealer in form and substance, with respect to the matters set forth in Section 3(a) of the Agreement </w:t>
      </w:r>
      <w:bookmarkStart w:id="202" w:name="z_cp_change_406"/>
      <w:bookmarkEnd w:id="202"/>
      <w:r>
        <w:rPr>
          <w:rFonts w:ascii="Times New Roman" w:hAnsi="Times New Roman"/>
          <w:color w:val="000000"/>
          <w:sz w:val="20"/>
        </w:rPr>
        <w:t xml:space="preserve">and Section 7(a)(vii) hereof; </w:t>
      </w:r>
      <w:r>
        <w:rPr>
          <w:rFonts w:ascii="Times New Roman" w:hAnsi="Times New Roman"/>
          <w:i/>
          <w:color w:val="000000"/>
          <w:sz w:val="20"/>
        </w:rPr>
        <w:t>provided</w:t>
      </w:r>
      <w:r>
        <w:rPr>
          <w:rFonts w:ascii="Times New Roman" w:hAnsi="Times New Roman"/>
          <w:color w:val="000000"/>
          <w:sz w:val="20"/>
        </w:rPr>
        <w:t xml:space="preserve"> that any such opinion of counsel may contain customary exceptions and qualifications, including, without limitation, exceptions and qualifications relating to indemnification provisions.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Counterparty understands that notwithstanding any other relationship between Counterparty and Dealer and its affiliates, in connection with the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 </w:t>
      </w:r>
      <w:r>
        <w:rPr>
          <w:rFonts w:ascii="Times New Roman" w:hAnsi="Times New Roman"/>
          <w:b/>
          <w:color w:val="000000"/>
          <w:sz w:val="20"/>
          <w:u w:val="single"/>
        </w:rPr>
        <w:t>Other Provisions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i/>
          <w:color w:val="000000"/>
          <w:sz w:val="20"/>
          <w:u w:val="single"/>
        </w:rPr>
        <w:t>Right to Extend</w:t>
      </w:r>
      <w:r>
        <w:rPr>
          <w:rFonts w:ascii="Times New Roman" w:hAnsi="Times New Roman"/>
          <w:color w:val="000000"/>
          <w:sz w:val="20"/>
        </w:rPr>
        <w:t xml:space="preserve">.  Dealer may divide any Component into additional Components and designate the Expiration Date and the Number of Options for each such Component if Dealer determines, in good faith and a commercially reasonable manner, that such further division would be necessary or advisable to preserve a commercially reasonable dealer’s hedging or hedge unwind activity with respect to the Transaction in light of existing liquidity conditions or to enable such a dealer to purchase or sell Shares or enter into swap or other derivatives transactions with respect to Shares in connection with its commercially reasonable hedging, hedge unwind or settlement activity with respect to the Transaction in a manner that would, if such dealer were Counterparty or an affiliated purchaser of Counterparty, be compliant and consistent with applicable legal, regulatory or self-regulatory requirements generally applicable to transactions of the type of the Transaction, or with related policies and procedures adopted by Dealer in good faith so long as such policies and procedures are generally applicable in similar situations and applied in a non-discriminatory manner; </w:t>
      </w:r>
      <w:r>
        <w:rPr>
          <w:rFonts w:ascii="Times New Roman" w:hAnsi="Times New Roman"/>
          <w:i/>
          <w:color w:val="000000"/>
          <w:sz w:val="20"/>
        </w:rPr>
        <w:t>provided</w:t>
      </w:r>
      <w:r>
        <w:rPr>
          <w:rFonts w:ascii="Times New Roman" w:hAnsi="Times New Roman"/>
          <w:color w:val="000000"/>
          <w:sz w:val="20"/>
        </w:rPr>
        <w:t xml:space="preserve"> that in no event shall any Expiration Date for any Component be postponed to a date later than the Final Termination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i/>
          <w:color w:val="000000"/>
          <w:sz w:val="20"/>
          <w:u w:val="single"/>
        </w:rPr>
        <w:t>Additional Termination Events</w:t>
      </w:r>
      <w:r>
        <w:rPr>
          <w:rFonts w:ascii="Times New Roman" w:hAnsi="Times New Roman"/>
          <w:color w:val="000000"/>
          <w:sz w:val="20"/>
        </w:rPr>
        <w:t>.  Promptly (but in any event within ten Scheduled Trading Days) following any repurchase, redemption, exchange or conversion of any of Counterparty’s 0.00% Convertible Senior Notes due 2030 (the “</w:t>
      </w:r>
      <w:r>
        <w:rPr>
          <w:rFonts w:ascii="Times New Roman" w:hAnsi="Times New Roman"/>
          <w:b/>
          <w:color w:val="000000"/>
          <w:sz w:val="20"/>
        </w:rPr>
        <w:t>Convertible Notes</w:t>
      </w:r>
      <w:r>
        <w:rPr>
          <w:rFonts w:ascii="Times New Roman" w:hAnsi="Times New Roman"/>
          <w:color w:val="000000"/>
          <w:sz w:val="20"/>
        </w:rPr>
        <w:t>”) issued pursuant to Counterparty’s indenture (the “</w:t>
      </w:r>
      <w:r>
        <w:rPr>
          <w:rFonts w:ascii="Times New Roman" w:hAnsi="Times New Roman"/>
          <w:b/>
          <w:color w:val="000000"/>
          <w:sz w:val="20"/>
        </w:rPr>
        <w:t>Indenture</w:t>
      </w:r>
      <w:r>
        <w:rPr>
          <w:rFonts w:ascii="Times New Roman" w:hAnsi="Times New Roman"/>
          <w:color w:val="000000"/>
          <w:sz w:val="20"/>
        </w:rPr>
        <w:t>”) to be dated August 19, 2026 between Counterparty and U.S. Bank Trust Company, National Association, as trustee, Counterparty may notify Dealer in writing of (i) such repurchase, redemption, exchange or conversion, (ii) the number of Convertible Notes so repurchased, redeemed or converted, (iii) the number of Shares underlying each USD 1,000 principal amount of Convertible Notes and (iv) the number of Options as to which Counterparty elects to exercise its termination rights under this Section 8(b) (any such notice, a “</w:t>
      </w:r>
      <w:r>
        <w:rPr>
          <w:rFonts w:ascii="Times New Roman" w:hAnsi="Times New Roman"/>
          <w:b/>
          <w:color w:val="000000"/>
          <w:sz w:val="20"/>
        </w:rPr>
        <w:t>Repurchase Notification</w:t>
      </w:r>
      <w:r>
        <w:rPr>
          <w:rFonts w:ascii="Times New Roman" w:hAnsi="Times New Roman"/>
          <w:color w:val="000000"/>
          <w:sz w:val="20"/>
        </w:rPr>
        <w:t>” and any such event, a “</w:t>
      </w:r>
      <w:r>
        <w:rPr>
          <w:rFonts w:ascii="Times New Roman" w:hAnsi="Times New Roman"/>
          <w:b/>
          <w:color w:val="000000"/>
          <w:sz w:val="20"/>
        </w:rPr>
        <w:t>Repurchase Event</w:t>
      </w:r>
      <w:r>
        <w:rPr>
          <w:rFonts w:ascii="Times New Roman" w:hAnsi="Times New Roman"/>
          <w:color w:val="000000"/>
          <w:sz w:val="20"/>
        </w:rPr>
        <w:t xml:space="preserve">”).  Notwithstanding anything to the contrary in this Confirmation, the receipt by Dealer from Counterparty of (x) any Repurchase Notification, within the applicable time period set forth in the preceding sentence, (y) a written representation and warranty by Counterparty that, as of the date of such Repurchase Notification, Counterparty is not in possession of any material non-public information regarding Counterparty or the Shares, and (z) a written representation and warranty by Counterparty that the aggregate Repurchase Options, together with any options being terminated concurrently under other capped call transactions entered into in connection with the issuance of the Convertible Notes, will not exceed the number of Shares underlying the Convertible Notes specified in such Repurchase Notification </w:t>
      </w:r>
      <w:r>
        <w:rPr>
          <w:rFonts w:ascii="Times New Roman" w:hAnsi="Times New Roman"/>
          <w:i/>
          <w:color w:val="000000"/>
          <w:sz w:val="20"/>
        </w:rPr>
        <w:t>divided by</w:t>
      </w:r>
      <w:r>
        <w:rPr>
          <w:rFonts w:ascii="Times New Roman" w:hAnsi="Times New Roman"/>
          <w:color w:val="000000"/>
          <w:sz w:val="20"/>
        </w:rPr>
        <w:t xml:space="preserve"> the Option Entitlement, shall constitute an Additional Termination Event as provided in this paragraph. Upon receipt of any such Repurchase Notification and the related written representations and warranties, Dealer shall promptly designate an Exchange Business Day following receipt of such Repurchase Notification as an Early Termination Date with respect to the portion of this Transaction corresponding to a number of Options (the “</w:t>
      </w:r>
      <w:r>
        <w:rPr>
          <w:rFonts w:ascii="Times New Roman" w:hAnsi="Times New Roman"/>
          <w:b/>
          <w:color w:val="000000"/>
          <w:sz w:val="20"/>
        </w:rPr>
        <w:t>Repurchase Options</w:t>
      </w:r>
      <w:r>
        <w:rPr>
          <w:rFonts w:ascii="Times New Roman" w:hAnsi="Times New Roman"/>
          <w:color w:val="000000"/>
          <w:sz w:val="20"/>
        </w:rPr>
        <w:t>”) equal to the lesser of (A) the number of Options specified in such Repurchase Notification and (B) the aggregate Number of Options as of the date Dealer designates such Early Termination Date and, as of such date, the aggregate Number of Options shall be reduced by the number of Repurchase Options on a pro rata basis across all Components, as determined by the Calculation Agent. Any payment hereunder with respect to such termination shall be calculated pursuant to Section 6 of the Agreement as if (1) an Early Termination Date had been designated in respect of a Transaction having terms identical to this Transaction and an aggregate Number of Options equal to the number of Repurchase Options, (2) Counterparty were the sole Affected Party with respect to such Additional Termination Event and (3) the terminated portion of the Transaction were the sole Affected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i/>
          <w:color w:val="000000"/>
          <w:sz w:val="20"/>
          <w:u w:val="single"/>
        </w:rPr>
        <w:t>Alternative Calculations and Payment on Early Termination and on Certain Extraordinary Events</w:t>
      </w:r>
      <w:r>
        <w:rPr>
          <w:rFonts w:ascii="Times New Roman" w:hAnsi="Times New Roman"/>
          <w:color w:val="000000"/>
          <w:sz w:val="20"/>
        </w:rPr>
        <w:t>.  If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which Event of Default or Termination Event resulted from an event or events within Counterparty’s control), and if Dealer would owe any amount to Counterparty pursuant to Section 6(d)(ii) and 6(e) of the Agreement or any Cancellation Amount pursuant to Article 12 of the Equity Definitions (any such amount, a “</w:t>
      </w:r>
      <w:r>
        <w:rPr>
          <w:rFonts w:ascii="Times New Roman" w:hAnsi="Times New Roman"/>
          <w:b/>
          <w:color w:val="000000"/>
          <w:sz w:val="20"/>
        </w:rPr>
        <w:t>Payment Obligation</w:t>
      </w:r>
      <w:r>
        <w:rPr>
          <w:rFonts w:ascii="Times New Roman" w:hAnsi="Times New Roman"/>
          <w:color w:val="000000"/>
          <w:sz w:val="20"/>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it is not in possession of any material non-public information regarding Counterparty or the Shares, and that such election is being made in good faith and not as part of a plan or scheme to evade compliance with the federal securities laws, and (c) Dealer agrees, in its commercially reasonable discretion, to such election, in which case the provisions of Section 12.7 or Section 12.9 of the Equity Definitions, or the provisions of Section 6(d)(ii) and 6(e) of the Agreement, as the case may be, shall apply.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3" w:name="zeff1a16392d94878aa8cf61c1eb94d72"/>
      <w:bookmarkStart w:id="204" w:name="zeff1a16392d94878aa8cf61c1eb94d72"/>
      <w:bookmarkEnd w:id="204"/>
    </w:p>
    <w:tbl>
      <w:tblPr>
        <w:tblW w:w="10205" w:type="dxa"/>
        <w:jc w:val="left"/>
        <w:tblInd w:w="0" w:type="dxa"/>
        <w:tblLayout w:type="fixed"/>
        <w:tblCellMar>
          <w:top w:w="0" w:type="dxa"/>
          <w:left w:w="0" w:type="dxa"/>
          <w:bottom w:w="0" w:type="dxa"/>
          <w:right w:w="0" w:type="dxa"/>
        </w:tblCellMar>
      </w:tblPr>
      <w:tblGrid>
        <w:gridCol w:w="1477"/>
        <w:gridCol w:w="8728"/>
      </w:tblGrid>
      <w:tr>
        <w:trPr/>
        <w:tc>
          <w:tcPr>
            <w:tcW w:w="1477" w:type="dxa"/>
            <w:tcBorders/>
            <w:vAlign w:val="center"/>
          </w:tcPr>
          <w:p>
            <w:pPr>
              <w:pStyle w:val="TableContents"/>
              <w:bidi w:val="0"/>
              <w:spacing w:before="0" w:after="0"/>
              <w:jc w:val="left"/>
              <w:rPr/>
            </w:pPr>
            <w:r>
              <w:rPr/>
              <w:t> </w:t>
            </w:r>
            <w:r>
              <w:rPr/>
              <w:t>Share Termination Alternative:</w:t>
            </w:r>
          </w:p>
        </w:tc>
        <w:tc>
          <w:tcPr>
            <w:tcW w:w="8728" w:type="dxa"/>
            <w:tcBorders/>
            <w:vAlign w:val="center"/>
          </w:tcPr>
          <w:p>
            <w:pPr>
              <w:pStyle w:val="TableContents"/>
              <w:bidi w:val="0"/>
              <w:spacing w:before="0" w:after="0"/>
              <w:jc w:val="left"/>
              <w:rPr/>
            </w:pPr>
            <w:r>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0"/>
              <w:jc w:val="left"/>
              <w:rPr/>
            </w:pPr>
            <w:r>
              <w:rPr/>
              <w:t>Share Termination Delivery Property:</w:t>
            </w:r>
          </w:p>
        </w:tc>
        <w:tc>
          <w:tcPr>
            <w:tcW w:w="8728" w:type="dxa"/>
            <w:tcBorders/>
            <w:vAlign w:val="center"/>
          </w:tcPr>
          <w:p>
            <w:pPr>
              <w:pStyle w:val="TableContents"/>
              <w:bidi w:val="0"/>
              <w:spacing w:before="0" w:after="0"/>
              <w:jc w:val="left"/>
              <w:rPr/>
            </w:pPr>
            <w:r>
              <w:rPr/>
              <w:t xml:space="preserve">A number of Share Termination Delivery Units, as calculated by the Calculation Agent in a commercially reasonable manner, equal to the Payment Obligation </w:t>
            </w:r>
            <w:r>
              <w:rPr>
                <w:i/>
              </w:rPr>
              <w:t>divided by</w:t>
            </w:r>
            <w:r>
              <w:rPr/>
              <w:t xml:space="preserve"> the Share Termination Unit Price. The Calculation Agent shall, in a commercially reasonable manner, adjust the Share Termination Delivery Property by replacing any fractional portion of a security therein with an amount of cash equal to the value of such fractional security based on the values used to calculate the Share Termination Unit Price.</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0"/>
              <w:jc w:val="left"/>
              <w:rPr/>
            </w:pPr>
            <w:r>
              <w:rPr/>
              <w:t>Share Termination Unit Price:</w:t>
            </w:r>
          </w:p>
        </w:tc>
        <w:tc>
          <w:tcPr>
            <w:tcW w:w="8728" w:type="dxa"/>
            <w:tcBorders/>
            <w:vAlign w:val="center"/>
          </w:tcPr>
          <w:p>
            <w:pPr>
              <w:pStyle w:val="TableContents"/>
              <w:bidi w:val="0"/>
              <w:spacing w:before="0" w:after="0"/>
              <w:jc w:val="left"/>
              <w:rPr/>
            </w:pPr>
            <w:r>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a variety of factors, including the market price of the Share Termination Delivery Units and/or the purchase price paid in connection with the commercially reasonable purchase of Share Termination Delivery Property.</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0"/>
              <w:jc w:val="left"/>
              <w:rPr/>
            </w:pPr>
            <w:r>
              <w:rPr/>
              <w:t>Share Termination Delivery Unit:</w:t>
            </w:r>
          </w:p>
        </w:tc>
        <w:tc>
          <w:tcPr>
            <w:tcW w:w="8728" w:type="dxa"/>
            <w:tcBorders/>
            <w:vAlign w:val="center"/>
          </w:tcPr>
          <w:p>
            <w:pPr>
              <w:pStyle w:val="TableContents"/>
              <w:bidi w:val="0"/>
              <w:spacing w:before="0" w:after="0"/>
              <w:jc w:val="left"/>
              <w:rPr/>
            </w:pPr>
            <w:r>
              <w:rPr/>
              <w:t>One Share or, if the Shares have changed into cash or any other property or the right to receive cash or any other property as the result of a Nationalization, Insolvency or Merger Event (any such cash or other property, the “Exchange Property”),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0"/>
              <w:jc w:val="left"/>
              <w:rPr/>
            </w:pPr>
            <w:r>
              <w:rPr/>
              <w:t>Failure to Deliver:</w:t>
            </w:r>
          </w:p>
        </w:tc>
        <w:tc>
          <w:tcPr>
            <w:tcW w:w="8728" w:type="dxa"/>
            <w:tcBorders/>
            <w:vAlign w:val="center"/>
          </w:tcPr>
          <w:p>
            <w:pPr>
              <w:pStyle w:val="TableContents"/>
              <w:bidi w:val="0"/>
              <w:spacing w:before="0" w:after="0"/>
              <w:jc w:val="left"/>
              <w:rPr/>
            </w:pPr>
            <w:r>
              <w:rPr/>
              <w:t>Applicable</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0"/>
              <w:jc w:val="left"/>
              <w:rPr/>
            </w:pPr>
            <w:r>
              <w:rPr/>
              <w:t>Other Applicable Provisions:</w:t>
            </w:r>
          </w:p>
        </w:tc>
        <w:tc>
          <w:tcPr>
            <w:tcW w:w="8728" w:type="dxa"/>
            <w:tcBorders/>
            <w:vAlign w:val="center"/>
          </w:tcPr>
          <w:p>
            <w:pPr>
              <w:pStyle w:val="TableContents"/>
              <w:bidi w:val="0"/>
              <w:spacing w:before="0" w:after="0"/>
              <w:jc w:val="left"/>
              <w:rPr/>
            </w:pPr>
            <w:r>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i/>
          <w:color w:val="000000"/>
          <w:sz w:val="20"/>
          <w:u w:val="single"/>
        </w:rPr>
        <w:t>Disposition of Hedge Shares</w:t>
      </w:r>
      <w:r>
        <w:rPr>
          <w:rFonts w:ascii="Times New Roman" w:hAnsi="Times New Roman"/>
          <w:color w:val="000000"/>
          <w:sz w:val="20"/>
        </w:rPr>
        <w:t>.  Counterparty hereby agrees that if, in the good faith reasonable judgment of Dealer, based on the advice of legal counsel, the Shares acquired by Dealer for the purpose of effecting a commercially reasonable hedge of its obligations pursuant to the Transaction (the “</w:t>
      </w:r>
      <w:r>
        <w:rPr>
          <w:rFonts w:ascii="Times New Roman" w:hAnsi="Times New Roman"/>
          <w:b/>
          <w:color w:val="000000"/>
          <w:sz w:val="20"/>
        </w:rPr>
        <w:t>Hedge</w:t>
      </w:r>
      <w:r>
        <w:rPr>
          <w:rFonts w:ascii="Times New Roman" w:hAnsi="Times New Roman"/>
          <w:color w:val="000000"/>
          <w:sz w:val="20"/>
        </w:rPr>
        <w:t> </w:t>
      </w:r>
      <w:r>
        <w:rPr>
          <w:rFonts w:ascii="Times New Roman" w:hAnsi="Times New Roman"/>
          <w:b/>
          <w:color w:val="000000"/>
          <w:sz w:val="20"/>
        </w:rPr>
        <w:t>Shares</w:t>
      </w:r>
      <w:r>
        <w:rPr>
          <w:rFonts w:ascii="Times New Roman" w:hAnsi="Times New Roman"/>
          <w:color w:val="000000"/>
          <w:sz w:val="20"/>
        </w:rPr>
        <w:t xml:space="preserve">”) cannot be sold in the U.S. public market by Dealer without registration under the Securities Act, Counterparty shall, at its election: (i) in order to allow Dealer to sell the Hedge Shares in a registered offering, </w:t>
      </w:r>
      <w:bookmarkStart w:id="205" w:name="z_cp_text_1_101"/>
      <w:bookmarkEnd w:id="205"/>
      <w:r>
        <w:rPr>
          <w:rFonts w:ascii="Times New Roman" w:hAnsi="Times New Roman"/>
          <w:color w:val="000000"/>
          <w:sz w:val="20"/>
        </w:rPr>
        <w:t xml:space="preserve">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 (C)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for companies of a similar size in a similar industry; </w:t>
      </w:r>
      <w:r>
        <w:rPr>
          <w:rFonts w:ascii="Times New Roman" w:hAnsi="Times New Roman"/>
          <w:i/>
          <w:color w:val="000000"/>
          <w:sz w:val="20"/>
        </w:rPr>
        <w:t>provided, however</w:t>
      </w:r>
      <w:r>
        <w:rPr>
          <w:rFonts w:ascii="Times New Roman" w:hAnsi="Times New Roman"/>
          <w:color w:val="000000"/>
          <w:sz w:val="20"/>
        </w:rPr>
        <w:t>, that, if Counterparty elects clause (i) above but Dealer, in its sole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w:t>
      </w:r>
      <w:r>
        <w:rPr>
          <w:rFonts w:ascii="Times New Roman" w:hAnsi="Times New Roman"/>
          <w:color w:val="0000FF"/>
          <w:sz w:val="20"/>
        </w:rPr>
        <w:t> </w:t>
      </w:r>
      <w:r>
        <w:rPr>
          <w:rFonts w:ascii="Times New Roman" w:hAnsi="Times New Roman"/>
          <w:i/>
          <w:color w:val="000000"/>
          <w:sz w:val="20"/>
        </w:rPr>
        <w:t xml:space="preserve">provided </w:t>
      </w:r>
      <w:r>
        <w:rPr>
          <w:rFonts w:ascii="Times New Roman" w:hAnsi="Times New Roman"/>
          <w:color w:val="000000"/>
          <w:sz w:val="20"/>
        </w:rPr>
        <w:t xml:space="preserve">that Dealer has given Counterparty reasonable notice of its determination and provided Counterparty with reasonable opportunity to satisfy Dealer’s concerns; (ii) in order to allow Dealer to sell the Hedge Shares in a private placement, enter into a private placement agreement substantially similar to private placement purchase agreements customary for private placements of equity securities of companies of a similar size in a similar industry, in form and substance commercially reasonably satisfactory to Dealer using reasonable best efforts to include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of equity securities of companies of a similar size in a similar industry, as is reasonably acceptable to Dealer (in which case, the Calculation Agent shall make any adjustments to the terms of the Transaction that are necessary, in its good faith and commercially reasonable judgment, to compensate Dealer for any customary liquidity discount from the public market price of the Shares incurred on the sale of Hedge Shares in a private placement); </w:t>
      </w:r>
      <w:r>
        <w:rPr>
          <w:rFonts w:ascii="Times New Roman" w:hAnsi="Times New Roman"/>
          <w:i/>
          <w:color w:val="000000"/>
          <w:sz w:val="20"/>
        </w:rPr>
        <w:t>provided</w:t>
      </w:r>
      <w:r>
        <w:rPr>
          <w:rFonts w:ascii="Times New Roman" w:hAnsi="Times New Roman"/>
          <w:color w:val="000000"/>
          <w:sz w:val="20"/>
        </w:rPr>
        <w:t xml:space="preserve"> that no “comfort letter” or accountants’ consent shall be required to be delivered in connection with any private placements; or (iii) purchase the Hedge Shares from Dealer at the then-prevailing market price at one or more times on such Exchange Business Days, and in the amounts, requested by Dealer.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 </w:t>
      </w:r>
      <w:r>
        <w:rPr>
          <w:rFonts w:ascii="Times New Roman" w:hAnsi="Times New Roman"/>
          <w:i/>
          <w:color w:val="000000"/>
          <w:sz w:val="20"/>
          <w:u w:val="single"/>
        </w:rPr>
        <w:t>Repurchase Notices</w:t>
      </w:r>
      <w:r>
        <w:rPr>
          <w:rFonts w:ascii="Times New Roman" w:hAnsi="Times New Roman"/>
          <w:color w:val="000000"/>
          <w:sz w:val="20"/>
        </w:rPr>
        <w:t>. Counterparty shall, at least one Scheduled Valid Day prior to any day on which Counterparty intends to effect any repurchase of Shares, give Dealer written notice of such repurchase (a “</w:t>
      </w:r>
      <w:r>
        <w:rPr>
          <w:rFonts w:ascii="Times New Roman" w:hAnsi="Times New Roman"/>
          <w:b/>
          <w:color w:val="000000"/>
          <w:sz w:val="20"/>
        </w:rPr>
        <w:t>Repurchase Notice</w:t>
      </w:r>
      <w:r>
        <w:rPr>
          <w:rFonts w:ascii="Times New Roman" w:hAnsi="Times New Roman"/>
          <w:color w:val="000000"/>
          <w:sz w:val="20"/>
        </w:rPr>
        <w:t xml:space="preserve">”) on such day if, following such repurchase, the Notice Percentage would reasonably be expected to be (i) greater than 4.23% and (ii) greater by 0.5% than the Notice Percentage included in the immediately preceding Repurchase Notice (or, in the case of the first such Repurchase Notice, greater than the Notice Percentage as of the date hereof); </w:t>
      </w:r>
      <w:r>
        <w:rPr>
          <w:rFonts w:ascii="Times New Roman" w:hAnsi="Times New Roman"/>
          <w:i/>
          <w:color w:val="000000"/>
          <w:sz w:val="20"/>
        </w:rPr>
        <w:t>provided</w:t>
      </w:r>
      <w:r>
        <w:rPr>
          <w:rFonts w:ascii="Times New Roman" w:hAnsi="Times New Roman"/>
          <w:color w:val="000000"/>
          <w:sz w:val="20"/>
        </w:rPr>
        <w:t xml:space="preserve"> that, in the case of any repurchases of Shares pursuant to a plan under Rule 10b5-1 under the Exchange Act, Counterparty may elect to satisfy such requirement by promptly providing Dealer with advance written notice on or prior to any such day of entry into such plan, the maximum number of Shares that may be purchased thereunder and the approximate dates or periods during which such purchases may occur (with such maximum number of Shares deemed repurchased on the date of such notice for purposes of this Section 8(e)), in each case so long as such advance written notice shall not contain any material non-public information with respect to the Issuer or the Shares.  The “</w:t>
      </w:r>
      <w:r>
        <w:rPr>
          <w:rFonts w:ascii="Times New Roman" w:hAnsi="Times New Roman"/>
          <w:b/>
          <w:color w:val="000000"/>
          <w:sz w:val="20"/>
        </w:rPr>
        <w:t>Notice Percentage</w:t>
      </w:r>
      <w:r>
        <w:rPr>
          <w:rFonts w:ascii="Times New Roman" w:hAnsi="Times New Roman"/>
          <w:color w:val="000000"/>
          <w:sz w:val="20"/>
        </w:rPr>
        <w:t xml:space="preserve">” as of any day is the fraction, expressed as a percentage, the numerator of which is the aggregate Number of Shares, </w:t>
      </w:r>
      <w:r>
        <w:rPr>
          <w:rFonts w:ascii="Times New Roman" w:hAnsi="Times New Roman"/>
          <w:i/>
          <w:color w:val="000000"/>
          <w:sz w:val="20"/>
        </w:rPr>
        <w:t>plus</w:t>
      </w:r>
      <w:r>
        <w:rPr>
          <w:rFonts w:ascii="Times New Roman" w:hAnsi="Times New Roman"/>
          <w:color w:val="000000"/>
          <w:sz w:val="20"/>
        </w:rPr>
        <w:t xml:space="preserve"> the aggregate number of Shares underlying any other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 w:hAnsi="Times New Roman"/>
          <w:b/>
          <w:color w:val="000000"/>
          <w:sz w:val="20"/>
        </w:rPr>
        <w:t>Indemnified Party</w:t>
      </w:r>
      <w:r>
        <w:rPr>
          <w:rFonts w:ascii="Times New Roman" w:hAnsi="Times New Roman"/>
          <w:color w:val="000000"/>
          <w:sz w:val="20"/>
        </w:rPr>
        <w:t>”) from and against any and all commercially reasonable losses (including direct losses relating to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Party may become subject under applicable securities laws, including without limitation, Section 16 of the Exchange Act or under any U.S. state or federal law, regulation or regulatory order, in each case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commercially reasonable expenses (including commercially reasonable outside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Counterparty shall be relieved from liability under this Section 8(e) to the extent that the Indemnified Party fails promptly to notify Counterparty of any action commenced against it in respect of which indemnity may be sought hereunder (it being understood that any such notice delivered within 30 calendar days of the commencement of any such action shall be deemed to have been delivered promptly for such purpose), if and to the extent that Counterparty is materially prejudiced by such delayed notification. This indemnity shall survive the completion of the Transaction contemplated by this Confirmation and any assignment and delegation of the Transaction made pursuant to this Confirmation or the Agreement and shall inure to the benefit of any permitted assignee of Dealer.  Counterparty will not be liable under this indemnity provision to the extent any loss, claim, damage, liability or expense is conclusively found in a final and non-appealable judgment by a court of competent jurisdiction to have resulted from Dealer’s gross negligence or willful misconduct.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 </w:t>
      </w:r>
      <w:r>
        <w:rPr>
          <w:rFonts w:ascii="Times New Roman" w:hAnsi="Times New Roman"/>
          <w:i/>
          <w:color w:val="000000"/>
          <w:sz w:val="20"/>
          <w:u w:val="single"/>
        </w:rPr>
        <w:t>Transfer and Assignment</w:t>
      </w:r>
      <w:r>
        <w:rPr>
          <w:rFonts w:ascii="Times New Roman" w:hAnsi="Times New Roman"/>
          <w:color w:val="000000"/>
          <w:sz w:val="20"/>
        </w:rPr>
        <w:t xml:space="preserve">.  Either party may transfer or assign any of its rights or obligations under the Transaction with the prior written consent of the non-transferring party, such consent not to be unreasonably withheld or delayed; </w:t>
      </w:r>
      <w:r>
        <w:rPr>
          <w:rFonts w:ascii="Times New Roman" w:hAnsi="Times New Roman"/>
          <w:i/>
          <w:color w:val="000000"/>
          <w:sz w:val="20"/>
        </w:rPr>
        <w:t>provided</w:t>
      </w:r>
      <w:r>
        <w:rPr>
          <w:rFonts w:ascii="Times New Roman" w:hAnsi="Times New Roman"/>
          <w:color w:val="000000"/>
          <w:sz w:val="20"/>
        </w:rPr>
        <w:t xml:space="preserve"> that Dealer may transfer or assign its rights and obligations hereunder, in whole or in part, without Counterparty’s consent, to any affiliate of Dealer (a “</w:t>
      </w:r>
      <w:r>
        <w:rPr>
          <w:rFonts w:ascii="Times New Roman" w:hAnsi="Times New Roman"/>
          <w:b/>
          <w:color w:val="000000"/>
          <w:sz w:val="20"/>
        </w:rPr>
        <w:t>Designated Transferee</w:t>
      </w:r>
      <w:r>
        <w:rPr>
          <w:rFonts w:ascii="Times New Roman" w:hAnsi="Times New Roman"/>
          <w:color w:val="000000"/>
          <w:sz w:val="20"/>
        </w:rPr>
        <w:t xml:space="preserve">”) (A) whose obligations would be guaranteed by Dealer or Dealer’s ultimate parent or (B) that has, or whose obligations would be guaranteed by a person with, in either case under this clause (B), a rating for its long-term, unsecured and unsubordinated indebtedness at least equivalent to Dealer’s (or its guarantor’s) at the time of such transfer or assignment,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in the case of this clause (B), in no event shall the credit rating of the Designated Transferee or of its guarantor (whichever is higher) be lower than A3 from Moody’s Investors Service, Inc. or its successor or A- from S&amp;P Global Ratings, a division of S&amp;P Global Inc., or its successor; </w:t>
      </w:r>
      <w:r>
        <w:rPr>
          <w:rFonts w:ascii="Times New Roman" w:hAnsi="Times New Roman"/>
          <w:i/>
          <w:color w:val="000000"/>
          <w:sz w:val="20"/>
        </w:rPr>
        <w:t>provided further</w:t>
      </w:r>
      <w:r>
        <w:rPr>
          <w:rFonts w:ascii="Times New Roman" w:hAnsi="Times New Roman"/>
          <w:color w:val="000000"/>
          <w:sz w:val="20"/>
        </w:rPr>
        <w:t xml:space="preserve"> that (i) Dealer will notify Counterparty in writing prior to or promptly after any proposed transfer or assignment to a Designated Transferee, (ii) after any such transfer or assignment, Counterparty will not, (x) as a result of any withholding or deduction made by the transferee or assignee as a result of any tax, receive from such transferee or assignee on any payment date or delivery date (after accounting for amounts paid under Section 2(d)(i)(4) of the Agreement as well as such withholding or deduction from the payment or delivery) an amount or a number of Shares, as applicable, lower than the amount or the number of Shares, as applicable, that Counterparty would have received in the absence of such transfer or assignment or (y) be required to pay or deliver to the transferee or assignee on any payment date an amount or number of Shares under Section 2(d)(i)(4) of the Agreement greater than an amount or number of Shares that Counterparty would have been required to pay or deliver to Dealer in the absence of such transfer or assignment (except, in each case of clause (x) and (y), to the extent such lower or greater amount, as applicable, results from a change in law occurring after the date of such transfer or assignment), and (iii) Dealer shall cause the transferee or assignee to make the Payee Tax Representations and provide Counterparty with a complete and accurate U.S. Internal Revenue Service Form W-9 or W-8 (as applicable), and any other tax documentation as may be reasonably requested by Counterparty, prior to becoming a party to the Transaction to permit Counterparty to determine that results described in clause (ii) will not occur upon or after such transfer or assignment. At any time at which (1) the Equity Percentage exceeds 8.0% or (2) Dealer, Dealer Group (as defined below) or any person whose ownership position would be aggregated with that of Dealer or Dealer Group (Dealer, Dealer Group or any such person, a “</w:t>
      </w:r>
      <w:r>
        <w:rPr>
          <w:rFonts w:ascii="Times New Roman" w:hAnsi="Times New Roman"/>
          <w:b/>
          <w:color w:val="000000"/>
          <w:sz w:val="20"/>
        </w:rPr>
        <w:t>Dealer Person</w:t>
      </w:r>
      <w:r>
        <w:rPr>
          <w:rFonts w:ascii="Times New Roman" w:hAnsi="Times New Roman"/>
          <w:color w:val="000000"/>
          <w:sz w:val="20"/>
        </w:rPr>
        <w:t>”) under any applicable “business combinations statute” or other federal, state or local law, rule, regulation or regulatory order or organizational documents or contracts of Counterparty applicable to ownership of Shares (“</w:t>
      </w:r>
      <w:r>
        <w:rPr>
          <w:rFonts w:ascii="Times New Roman" w:hAnsi="Times New Roman"/>
          <w:b/>
          <w:color w:val="000000"/>
          <w:sz w:val="20"/>
        </w:rPr>
        <w:t>Applicable Restrictions</w:t>
      </w:r>
      <w:r>
        <w:rPr>
          <w:rFonts w:ascii="Times New Roman" w:hAnsi="Times New Roman"/>
          <w:color w:val="000000"/>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or adverse consequences (including obtaining prior approval by a state or federal regulator) of a Dealer Person under Applicable Restrictions and with respect to which such requirements have not been met or the relevant approval has not been received, or could result in an adverse effect on a Dealer Person, under any Applicable Restriction, as determined by Dealer in its reasonable discretion </w:t>
      </w:r>
      <w:r>
        <w:rPr>
          <w:rFonts w:ascii="Times New Roman" w:hAnsi="Times New Roman"/>
          <w:i/>
          <w:color w:val="000000"/>
          <w:sz w:val="20"/>
        </w:rPr>
        <w:t>minus</w:t>
      </w:r>
      <w:r>
        <w:rPr>
          <w:rFonts w:ascii="Times New Roman" w:hAnsi="Times New Roman"/>
          <w:color w:val="000000"/>
          <w:sz w:val="20"/>
        </w:rPr>
        <w:t xml:space="preserve"> (y) 1% of the number of Shares outstanding on the date of determination (either such condition described in clause (1) or (2), an “</w:t>
      </w:r>
      <w:r>
        <w:rPr>
          <w:rFonts w:ascii="Times New Roman" w:hAnsi="Times New Roman"/>
          <w:b/>
          <w:color w:val="000000"/>
          <w:sz w:val="20"/>
        </w:rPr>
        <w:t>Excess Ownership Position</w:t>
      </w:r>
      <w:r>
        <w:rPr>
          <w:rFonts w:ascii="Times New Roman" w:hAnsi="Times New Roman"/>
          <w:color w:val="000000"/>
          <w:sz w:val="20"/>
        </w:rPr>
        <w:t>”), if Dealer, in its commercially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Valid Day as an Early Termination Date with respect to a portion (the “</w:t>
      </w:r>
      <w:r>
        <w:rPr>
          <w:rFonts w:ascii="Times New Roman" w:hAnsi="Times New Roman"/>
          <w:b/>
          <w:color w:val="000000"/>
          <w:sz w:val="20"/>
        </w:rPr>
        <w:t>Terminated Portion</w:t>
      </w:r>
      <w:r>
        <w:rPr>
          <w:rFonts w:ascii="Times New Roman" w:hAnsi="Times New Roman"/>
          <w:color w:val="000000"/>
          <w:sz w:val="20"/>
        </w:rPr>
        <w:t>”) of the Transaction, such that an Excess Ownership Position no longer exists following such partial termination. In the event that Dealer so designates an Early Termination Date with respect to a portion of the Transaction, a payment or delivery shall be made pursuant to Section 6 of the Agreement and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 w:hAnsi="Times New Roman"/>
          <w:b/>
          <w:color w:val="000000"/>
          <w:sz w:val="20"/>
        </w:rPr>
        <w:t>Equity Percentage</w:t>
      </w:r>
      <w:r>
        <w:rPr>
          <w:rFonts w:ascii="Times New Roman" w:hAnsi="Times New Roman"/>
          <w:color w:val="000000"/>
          <w:sz w:val="20"/>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Rule 13d-5(b)(1) under the Exchange Act) of which Dealer is or may be deemed to be a part (collectively, “</w:t>
      </w:r>
      <w:r>
        <w:rPr>
          <w:rFonts w:ascii="Times New Roman" w:hAnsi="Times New Roman"/>
          <w:b/>
          <w:color w:val="000000"/>
          <w:sz w:val="20"/>
        </w:rPr>
        <w:t>Dealer Group</w:t>
      </w:r>
      <w:r>
        <w:rPr>
          <w:rFonts w:ascii="Times New Roman" w:hAnsi="Times New Roman"/>
          <w:color w:val="000000"/>
          <w:sz w:val="20"/>
        </w:rPr>
        <w: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the case of a transfer or assignment by Counterparty of its rights and obligations hereunder and under the Agreement, in whole or in part (any such Options so transferred or assigned, the “</w:t>
      </w:r>
      <w:r>
        <w:rPr>
          <w:rFonts w:ascii="Times New Roman" w:hAnsi="Times New Roman"/>
          <w:b/>
          <w:color w:val="000000"/>
          <w:sz w:val="20"/>
        </w:rPr>
        <w:t>Transfer Options</w:t>
      </w:r>
      <w:r>
        <w:rPr>
          <w:rFonts w:ascii="Times New Roman" w:hAnsi="Times New Roman"/>
          <w:color w:val="000000"/>
          <w:sz w:val="20"/>
        </w:rPr>
        <w:t>”), to any party, withholding of such consent by Dealer shall not be considered unreasonable if such transfer or assignment does not meet the reasonable conditions that Dealer may impose including, but not limited, to the following conditions:</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(A) 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(B) any Transfer Options shall only be transferred or assigned to a third party that is a U.S. person (as defined in the U.S. Internal Revenue Code of 1986, as amended (the “</w:t>
      </w:r>
      <w:r>
        <w:rPr>
          <w:rFonts w:ascii="Times New Roman" w:hAnsi="Times New Roman"/>
          <w:b/>
          <w:color w:val="000000"/>
          <w:sz w:val="20"/>
        </w:rPr>
        <w:t>Code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(C) such transfer or assignment shall be effected on terms, including any commercially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and reasonably satisfactory to Dealer;</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(D) Dealer will not, as a result of such transfer or assignment, (x) be required to pay or deliver to the transferee or assignee on any payment date or delivery date, as applicable, an amount or a number of Shares under Section 2(d)(i)(4) of the Agreement greater than an amount or a number of Shares that Dealer would have been required to pay or deliver to Counterparty in the absence of such transfer or assignment or (y) as a result of any withholding or deduction made by the transferee or assignee as a result of any tax receive from the transferee or assignee on any payment date (after accounting for amounts paid under Section 2(d)(i)(4) of the Agreement as well as such withholding or deduction from the payment) an amount or a number of Shares lower than the amount or number of Shares that Dealer would have received in the absence of such transfer or assignment (except, in each case of clause (x) and (y), to the extent such lower or greater amount or number of Shares, as applicable, results from a change in law occurring after the date of such transfer or assignment);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(E) an Event of Default, Potential Event of Default or Termination Event will not occur as a result of such transfer or assignment;</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(F) without limiting the generality of clause (B), Counterparty shall have caused the transferee or assignee to make such Payee Tax Representations and to provide a properly executed IRS Form W-9 and any such tax documentation as may be reasonably requested by Dealer to permit Dealer to determine that results described in clause (D) will not occur upon or after such transfer or assignment; and</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(G) Counterparty shall be responsible for all commercially reasonable costs and expenses, including reasonable counsel fees, incurred by Dealer in connection with such transfer or assignment.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For the avoidance of doubt, the representations and covenants with respect to Sections 8(u) and 8(v)(ii) shall remain unaffected by such designation.  Dealer shall be discharged of its obligations to Counterparty to the extent of any such performance.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(g) </w:t>
      </w:r>
      <w:r>
        <w:rPr>
          <w:rFonts w:ascii="Times New Roman" w:hAnsi="Times New Roman"/>
          <w:i/>
          <w:color w:val="000000"/>
          <w:sz w:val="20"/>
          <w:u w:val="single"/>
        </w:rPr>
        <w:t>Staggered Settlement</w:t>
      </w:r>
      <w:r>
        <w:rPr>
          <w:rFonts w:ascii="Times New Roman" w:hAnsi="Times New Roman"/>
          <w:color w:val="000000"/>
          <w:sz w:val="20"/>
        </w:rPr>
        <w:t>.  If Dealer determines reasonably and in good faith based on the reasonable advice of counsel (a) with respect to applicable legal and regulatory requirements, including any requirements relating to Dealer’s commercially reasonable hedging activities hereunder, that it would not be practicable or advisable to deliver, or to acquire Shares to deliver, any or all of the Shares to be delivered by Dealer on the Settlement Date or (b) that the number of Shares required to be delivered to Counterparty hereunder on the Settlement Date would result in an Excess Ownership Position, then Dealer may, by notice to Counterparty prior to the Settlement Date (a “</w:t>
      </w:r>
      <w:r>
        <w:rPr>
          <w:rFonts w:ascii="Times New Roman" w:hAnsi="Times New Roman"/>
          <w:b/>
          <w:color w:val="000000"/>
          <w:sz w:val="20"/>
        </w:rPr>
        <w:t>Nominal Settlement Date</w:t>
      </w:r>
      <w:r>
        <w:rPr>
          <w:rFonts w:ascii="Times New Roman" w:hAnsi="Times New Roman"/>
          <w:color w:val="000000"/>
          <w:sz w:val="20"/>
        </w:rPr>
        <w:t>”), elect to deliver any Shares due to be delivered on two or more dates (each, a “</w:t>
      </w:r>
      <w:r>
        <w:rPr>
          <w:rFonts w:ascii="Times New Roman" w:hAnsi="Times New Roman"/>
          <w:b/>
          <w:color w:val="000000"/>
          <w:sz w:val="20"/>
        </w:rPr>
        <w:t>Staggered Settlement Date</w:t>
      </w:r>
      <w:r>
        <w:rPr>
          <w:rFonts w:ascii="Times New Roman" w:hAnsi="Times New Roman"/>
          <w:color w:val="000000"/>
          <w:sz w:val="20"/>
        </w:rPr>
        <w:t>”) or at two or more times on the Nominal Settlement Date as follows:</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(i) in such notice, Dealer will specify to Counterparty the related Staggered Settlement Dates (each of which will be on or prior to such Nominal Settlement Date) or delivery times and how it will allocate the Shares it is required to deliver hereunder on the Settlement Date among the Staggered Settlement Dates or delivery times; and</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 xml:space="preserve">(ii) the aggregate number of Shares that Dealer will deliver to Counterparty hereunder on all such Staggered Settlement Dates and delivery times will equal the number of Shares that Dealer would otherwise be required to deliver on such Nominal Settlement Date; </w:t>
      </w:r>
      <w:r>
        <w:rPr>
          <w:rFonts w:ascii="Times New Roman" w:hAnsi="Times New Roman"/>
          <w:i/>
          <w:color w:val="000000"/>
          <w:sz w:val="20"/>
        </w:rPr>
        <w:t>provided</w:t>
      </w:r>
      <w:r>
        <w:rPr>
          <w:rFonts w:ascii="Times New Roman" w:hAnsi="Times New Roman"/>
          <w:color w:val="000000"/>
          <w:sz w:val="20"/>
        </w:rPr>
        <w:t xml:space="preserve"> that in no event shall any Staggered Settlement Date be a date later than the Final Termination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(h) </w:t>
      </w:r>
      <w:r>
        <w:rPr>
          <w:rFonts w:ascii="Times New Roman" w:hAnsi="Times New Roman"/>
          <w:i/>
          <w:color w:val="000000"/>
          <w:sz w:val="20"/>
          <w:u w:val="single"/>
        </w:rPr>
        <w:t>Tax Disclosure</w:t>
      </w:r>
      <w:r>
        <w:rPr>
          <w:rFonts w:ascii="Times New Roman" w:hAnsi="Times New Roman"/>
          <w:color w:val="000000"/>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 </w:t>
      </w:r>
      <w:r>
        <w:rPr>
          <w:rFonts w:ascii="Times New Roman" w:hAnsi="Times New Roman"/>
          <w:i/>
          <w:color w:val="000000"/>
          <w:sz w:val="20"/>
          <w:u w:val="single"/>
        </w:rPr>
        <w:t>No Netting and Set-off</w:t>
      </w:r>
      <w:r>
        <w:rPr>
          <w:rFonts w:ascii="Times New Roman" w:hAnsi="Times New Roman"/>
          <w:i/>
          <w:color w:val="000000"/>
          <w:sz w:val="20"/>
        </w:rPr>
        <w:t xml:space="preserve">.  </w:t>
      </w:r>
      <w:r>
        <w:rPr>
          <w:rFonts w:ascii="Times New Roman" w:hAnsi="Times New Roman"/>
          <w:color w:val="000000"/>
          <w:sz w:val="20"/>
        </w:rPr>
        <w:t>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(j) </w:t>
      </w:r>
      <w:r>
        <w:rPr>
          <w:rFonts w:ascii="Times New Roman" w:hAnsi="Times New Roman"/>
          <w:i/>
          <w:color w:val="000000"/>
          <w:sz w:val="20"/>
          <w:u w:val="single"/>
        </w:rPr>
        <w:t>Equity Rights</w:t>
      </w:r>
      <w:r>
        <w:rPr>
          <w:rFonts w:ascii="Times New Roman" w:hAnsi="Times New Roman"/>
          <w:color w:val="000000"/>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(k) </w:t>
      </w:r>
      <w:r>
        <w:rPr>
          <w:rFonts w:ascii="Times New Roman" w:hAnsi="Times New Roman"/>
          <w:i/>
          <w:color w:val="000000"/>
          <w:sz w:val="20"/>
          <w:u w:val="single"/>
        </w:rPr>
        <w:t>Early Unwind</w:t>
      </w:r>
      <w:r>
        <w:rPr>
          <w:rFonts w:ascii="Times New Roman" w:hAnsi="Times New Roman"/>
          <w:color w:val="000000"/>
          <w:sz w:val="20"/>
        </w:rPr>
        <w:t>. In the event the sale of any Convertible Notes contemplated by any Subscription Agreement, dated as of August 12, 2026, between Counterparty and the applicable investor that is party thereto, is not consummated for any reason by 5:00 p.m. (New York City time) on the Premium Payment Date, or such later date as agreed upon by the parties (the Premium Payment Date or such later date, the “</w:t>
      </w:r>
      <w:r>
        <w:rPr>
          <w:rFonts w:ascii="Times New Roman" w:hAnsi="Times New Roman"/>
          <w:b/>
          <w:color w:val="000000"/>
          <w:sz w:val="20"/>
        </w:rPr>
        <w:t>Early Unwind Date</w:t>
      </w:r>
      <w:r>
        <w:rPr>
          <w:rFonts w:ascii="Times New Roman" w:hAnsi="Times New Roman"/>
          <w:color w:val="000000"/>
          <w:sz w:val="20"/>
        </w:rPr>
        <w:t>”), a corresponding portion of the Transaction (or, if no such sales are consummated, the Transaction) shall automatically terminate (the “</w:t>
      </w:r>
      <w:r>
        <w:rPr>
          <w:rFonts w:ascii="Times New Roman" w:hAnsi="Times New Roman"/>
          <w:b/>
          <w:color w:val="000000"/>
          <w:sz w:val="20"/>
        </w:rPr>
        <w:t>Early Unwind</w:t>
      </w:r>
      <w:r>
        <w:rPr>
          <w:rFonts w:ascii="Times New Roman" w:hAnsi="Times New Roman"/>
          <w:color w:val="000000"/>
          <w:sz w:val="20"/>
        </w:rPr>
        <w:t>”) on the Early Unwind Date and (i) the Transaction, or the corresponding portion thereof, as the case may be, and all of the respective rights and obligations of Dealer and Counterparty under the Transaction, or the corresponding portion thereof, as the case may be, shall be cancelled and terminated, and Counterparty shall pay to Dealer an amount in cash equal to the aggregate amount of commercially reasonable costs and expenses relating to the unwinding of Dealer’s commercially reasonable hedging activities in respect of the Transaction (or the corresponding portion thereof so terminated, as applicable), including commercially reasonable market losses (including, without limitation, any commercially reasonable private placement liquidity discount) incurred in reselling any Shares purchased by Dealer or its affiliates in connection with such commercially reasonable hedging activities, unless Counterparty agrees to purchase any such Shares at the cost at which Dealer purchased such Shares, or, at the election of Counterparty, deliver to Dealer Shares with a value equal to such amount, as determined by the Calculation Agent, in which event the parties shall enter into customary and commercially reasonable documentation relating to the registered or exempt resale of such Shares (</w:t>
      </w:r>
      <w:r>
        <w:rPr>
          <w:rFonts w:ascii="Times New Roman" w:hAnsi="Times New Roman"/>
          <w:i/>
          <w:color w:val="000000"/>
          <w:sz w:val="20"/>
        </w:rPr>
        <w:t>provided</w:t>
      </w:r>
      <w:r>
        <w:rPr>
          <w:rFonts w:ascii="Times New Roman" w:hAnsi="Times New Roman"/>
          <w:color w:val="000000"/>
          <w:sz w:val="20"/>
        </w:rPr>
        <w:t xml:space="preserve"> that the aggregate number of Shares deliverable pursuant to this Section 8(k) shall not exceed twice the Number of Shares with respect to the Transaction or the terminated portion of the Transaction, as the case may be), and (ii) subject to Counterparty’s obligations as set forth in clause (i), each party shall be released and discharged by the other party from and agrees not to make any claim against the other party with respect to any obligations or liabilities of the other party arising out of and to be performed in connection with the Transaction, or the portion thereof so terminated, as the case may be, either prior to or after the Early Unwind Date.  Each of Dealer and Counterparty represents and acknowledges to the other that, upon an Early Unwind, subject to Counterparty’s obligations as set forth in the immediately preceding sentence, all obligations with respect to the Transaction, or the portion thereof so terminated, as the case may be, shall be deemed fully and finally discharged. For the avoidance of doubt, it is intended that, if less than all of the Transaction is terminated pursuant to this Section 8(k), payments pursuant to this Section 8(k) shall be made solely in respect of the terminated portion of the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(l) </w:t>
      </w:r>
      <w:r>
        <w:rPr>
          <w:rFonts w:ascii="Times New Roman" w:hAnsi="Times New Roman"/>
          <w:i/>
          <w:color w:val="000000"/>
          <w:sz w:val="20"/>
          <w:u w:val="single"/>
        </w:rPr>
        <w:t>Wall Street Transparency and Accountability Act</w:t>
      </w:r>
      <w:r>
        <w:rPr>
          <w:rFonts w:ascii="Times New Roman" w:hAnsi="Times New Roman"/>
          <w:i/>
          <w:color w:val="000000"/>
          <w:sz w:val="20"/>
        </w:rPr>
        <w:t xml:space="preserve">.  </w:t>
      </w:r>
      <w:r>
        <w:rPr>
          <w:rFonts w:ascii="Times New Roman" w:hAnsi="Times New Roman"/>
          <w:color w:val="000000"/>
          <w:sz w:val="20"/>
        </w:rPr>
        <w:t>In connection with Section 739 of the Wall Street Transparency and Accountability Act of 2010 (“</w:t>
      </w:r>
      <w:r>
        <w:rPr>
          <w:rFonts w:ascii="Times New Roman" w:hAnsi="Times New Roman"/>
          <w:b/>
          <w:color w:val="000000"/>
          <w:sz w:val="20"/>
        </w:rPr>
        <w:t>WSTAA</w:t>
      </w:r>
      <w:r>
        <w:rPr>
          <w:rFonts w:ascii="Times New Roman" w:hAnsi="Times New Roman"/>
          <w:color w:val="000000"/>
          <w:sz w:val="20"/>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(m) </w:t>
      </w:r>
      <w:r>
        <w:rPr>
          <w:rFonts w:ascii="Times New Roman" w:hAnsi="Times New Roman"/>
          <w:i/>
          <w:color w:val="000000"/>
          <w:sz w:val="20"/>
          <w:u w:val="single"/>
        </w:rPr>
        <w:t>Amendments to Equity Definitions</w:t>
      </w:r>
      <w:r>
        <w:rPr>
          <w:rFonts w:ascii="Times New Roman" w:hAnsi="Times New Roman"/>
          <w:color w:val="000000"/>
          <w:sz w:val="20"/>
        </w:rPr>
        <w:t>. The following amendments shall be made to the Equity Definitions:</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(i) solely for purposes of applying the Equity Definitions and for purposes of this Confirmation, any reference in the Equity Definitions to a Strike Price shall be deemed to be a reference to either of the Strike Price or the Cap Price, or both, as appropriate;</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(ii) for the purpose of any adjustment under Section 11.2(c) of the Equity Definitions, the first sentence of Section 11.2(c) of the Equity Definitions, prior to clause (A) thereof, is hereby amended to read as follows: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in the commercially reasonable judgment of the Calculation Agent, a material economic effect on the theoretical value of the relevant Shares or options on the Shares (</w:t>
      </w:r>
      <w:r>
        <w:rPr>
          <w:rFonts w:ascii="Times New Roman" w:hAnsi="Times New Roman"/>
          <w:i/>
          <w:color w:val="000000"/>
          <w:sz w:val="20"/>
        </w:rPr>
        <w:t>provided</w:t>
      </w:r>
      <w:r>
        <w:rPr>
          <w:rFonts w:ascii="Times New Roman" w:hAnsi="Times New Roman"/>
          <w:color w:val="000000"/>
          <w:sz w:val="20"/>
        </w:rPr>
        <w:t xml:space="preserve"> that such event is not based on (x) an observable market, other than the market for Counterparty’s own stock or (y) an observable index, other than an index calculated and measured solely by reference to Counterparty’s own operations) and, if so, will (i) make appropriate adjustment(s), if any, determined in a commercially reasonable manner, to any one or more of:”, and the portion of such sentence immediately preceding clause (ii) thereof is hereby amended by deleting the words “diluting or concentrative” and the words “(</w:t>
      </w:r>
      <w:r>
        <w:rPr>
          <w:rFonts w:ascii="Times New Roman" w:hAnsi="Times New Roman"/>
          <w:i/>
          <w:color w:val="000000"/>
          <w:sz w:val="20"/>
        </w:rPr>
        <w:t>provided</w:t>
      </w:r>
      <w:r>
        <w:rPr>
          <w:rFonts w:ascii="Times New Roman" w:hAnsi="Times New Roman"/>
          <w:color w:val="000000"/>
          <w:sz w:val="20"/>
        </w:rPr>
        <w:t xml:space="preserve"> that no adjustments will be made to account solely for changes in volatility, expected dividends, stock loan rate or liquidity relative to the relevant Shares)” and replacing such latter phrase with the words “(</w:t>
      </w:r>
      <w:r>
        <w:rPr>
          <w:rFonts w:ascii="Times New Roman" w:hAnsi="Times New Roman"/>
          <w:i/>
          <w:color w:val="000000"/>
          <w:sz w:val="20"/>
        </w:rPr>
        <w:t>provided</w:t>
      </w:r>
      <w:r>
        <w:rPr>
          <w:rFonts w:ascii="Times New Roman" w:hAnsi="Times New Roman"/>
          <w:color w:val="000000"/>
          <w:sz w:val="20"/>
        </w:rPr>
        <w:t xml:space="preserve"> that solely in the case of Sections 11.2(e)(i), (ii)(A) and (iv), no adjustments will be made to account solely for changes in volatility, expected dividends, stock loan rate, or liquidity relative to the relevant Shares as determined by the Calculation Agent in a commercially reasonable manner, but, for the avoidance of doubt, solely in the case of Sections 11.2(e)(ii)(B) through (D), (iii), (v), (vi) and (vii), adjustments may be made to account solely for changes in volatility, expected dividends, stock loan rate or liquidity relative to the relevant Shares)”;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 xml:space="preserve">(iii) Section 11.2(a) of the Equity Definitions is hereby amended by (1) deleting the words “in the determination of the Calculation Agent, a diluting or concentrative effect on the theoretical value of the relevant Shares” and replacing these words with “in the commercially reasonable judgment of the Calculation Agent, a material economic effect on the theoretical value of the Shares or options on such Shares”; and (2) adding at the end thereof “; </w:t>
      </w:r>
      <w:r>
        <w:rPr>
          <w:rFonts w:ascii="Times New Roman" w:hAnsi="Times New Roman"/>
          <w:i/>
          <w:color w:val="000000"/>
          <w:sz w:val="20"/>
        </w:rPr>
        <w:t>provided</w:t>
      </w:r>
      <w:r>
        <w:rPr>
          <w:rFonts w:ascii="Times New Roman" w:hAnsi="Times New Roman"/>
          <w:color w:val="000000"/>
          <w:sz w:val="20"/>
        </w:rPr>
        <w:t xml:space="preserve"> that such event is not based on (i) an observable market, other than the market for Counterparty’s own stock or (ii) an observable index, other than an index calculated and measured solely by reference to Counterparty’s own operations”;</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 xml:space="preserve">(iv) Section 11.2(e)(vii) of the Equity Definitions is hereby amended and restated as follows: “any other corporate event involving the Issuer that in the commercially reasonable judgment of the Calculation Agent has a material economic effect on the theoretical value of the Shares or options on the Shares; </w:t>
      </w:r>
      <w:r>
        <w:rPr>
          <w:rFonts w:ascii="Times New Roman" w:hAnsi="Times New Roman"/>
          <w:i/>
          <w:color w:val="000000"/>
          <w:sz w:val="20"/>
        </w:rPr>
        <w:t>provided</w:t>
      </w:r>
      <w:r>
        <w:rPr>
          <w:rFonts w:ascii="Times New Roman" w:hAnsi="Times New Roman"/>
          <w:color w:val="000000"/>
          <w:sz w:val="20"/>
        </w:rPr>
        <w:t xml:space="preserve"> that such corporate event involving the Issuer is not based on (a) an observable market, other than the market for Counterparty’s own stock or (b) an observable index, other than an index calculated and measured solely by reference to Counterparty’s own operations.”;</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(v) Section 12.7(b) of the Equity Definitions is hereby amended by deleting the words “(and in any event within five Exchange Business Days) by the parties after” appearing after the words “agreed promptly” and replacing with the words “by the parties on or prior to”; and</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(vi) “Extraordinary Dividend” (as such term is used in the Equity Definitions) means any cash dividend on the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(n) </w:t>
      </w:r>
      <w:r>
        <w:rPr>
          <w:rFonts w:ascii="Times New Roman" w:hAnsi="Times New Roman"/>
          <w:i/>
          <w:color w:val="000000"/>
          <w:sz w:val="20"/>
          <w:u w:val="single"/>
        </w:rPr>
        <w:t>Governing Law</w:t>
      </w:r>
      <w:r>
        <w:rPr>
          <w:rFonts w:ascii="Times New Roman" w:hAnsi="Times New Roman"/>
          <w:color w:val="000000"/>
          <w:sz w:val="20"/>
        </w:rPr>
        <w:t xml:space="preserve">.  </w:t>
      </w:r>
      <w:r>
        <w:rPr>
          <w:rFonts w:ascii="Times New Roman" w:hAnsi="Times New Roman"/>
          <w:b/>
          <w:color w:val="000000"/>
          <w:sz w:val="20"/>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  THE PARTIES HERETO IRREVOCABLY SUBMIT TO THE EXCLUSIVE JURISDICTION OF THE FEDERAL AND STATE COURTS LOCATED IN THE BOROUGH OF MANHATTAN, IN THE CITY OF NEW YORK IN ANY SUIT OR PROCEEDING ARISING OUT OF OR RELATING TO THE AGREEMENT, THIS CONFIRMATION OR ANY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(o) </w:t>
      </w:r>
      <w:r>
        <w:rPr>
          <w:rFonts w:ascii="Times New Roman" w:hAnsi="Times New Roman"/>
          <w:i/>
          <w:color w:val="000000"/>
          <w:sz w:val="20"/>
          <w:u w:val="single"/>
        </w:rPr>
        <w:t>Amendment to the Agreement</w:t>
      </w:r>
      <w:r>
        <w:rPr>
          <w:rFonts w:ascii="Times New Roman" w:hAnsi="Times New Roman"/>
          <w:color w:val="000000"/>
          <w:sz w:val="20"/>
        </w:rPr>
        <w:t>.  Section 12(a) of the Agreement is hereby amended by (i) deleting the phrase “or email” in the third line thereof and (ii) deleting the phrase “or that communication is delivered (or attempted) or received, as applicable, after the close of business on a Local Business Day” in the final clause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(p) </w:t>
      </w:r>
      <w:r>
        <w:rPr>
          <w:rFonts w:ascii="Times New Roman" w:hAnsi="Times New Roman"/>
          <w:i/>
          <w:color w:val="000000"/>
          <w:sz w:val="20"/>
          <w:u w:val="single"/>
        </w:rPr>
        <w:t>Adjustments</w:t>
      </w:r>
      <w:r>
        <w:rPr>
          <w:rFonts w:ascii="Times New Roman" w:hAnsi="Times New Roman"/>
          <w:color w:val="000000"/>
          <w:sz w:val="20"/>
        </w:rPr>
        <w:t>. For the avoidance of doubt, whenever the Calculation Agent or Determining Party is called upon to make an adjustment pursuant to the terms of this Confirmation or the Equity Definitions to take into account the effect of an event, the Calculation Agent or Determining Party shall make such adjustment by reference to the effect of such event on the Hedging Party, assuming that the Hedging Party maintains a commercially reasonable hedge position.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(q) </w:t>
      </w:r>
      <w:r>
        <w:rPr>
          <w:rFonts w:ascii="Times New Roman" w:hAnsi="Times New Roman"/>
          <w:i/>
          <w:color w:val="000000"/>
          <w:sz w:val="20"/>
          <w:u w:val="single"/>
        </w:rPr>
        <w:t>Delivery or Receipt of Cash</w:t>
      </w:r>
      <w:r>
        <w:rPr>
          <w:rFonts w:ascii="Times New Roman" w:hAnsi="Times New Roman"/>
          <w:color w:val="000000"/>
          <w:sz w:val="20"/>
        </w:rPr>
        <w:t>.  For the avoidance of doubt, other than payment of the Premium by Counterparty, nothing in this Confirmation shall be interpreted as requiring Counterparty to cash settle the Transaction, except in circumstances where cash settlement is within Counterparty’s control (including, without limitation, where Counterparty elects to deliver or receive cash) or in those circumstances in which holders of Shares would also receive cash.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(r) </w:t>
      </w:r>
      <w:r>
        <w:rPr>
          <w:rFonts w:ascii="Times New Roman" w:hAnsi="Times New Roman"/>
          <w:i/>
          <w:color w:val="000000"/>
          <w:sz w:val="20"/>
          <w:u w:val="single"/>
        </w:rPr>
        <w:t>Waiver of Jury Trial</w:t>
      </w:r>
      <w:r>
        <w:rPr>
          <w:rFonts w:ascii="Times New Roman" w:hAnsi="Times New Roman"/>
          <w:color w:val="000000"/>
          <w:sz w:val="20"/>
        </w:rPr>
        <w:t xml:space="preserve">.  </w:t>
      </w:r>
      <w:r>
        <w:rPr>
          <w:rFonts w:ascii="Times New Roman" w:hAnsi="Times New Roman"/>
          <w:b/>
          <w:color w:val="000000"/>
          <w:sz w:val="20"/>
        </w:rPr>
        <w:t>EACH PARTY HEREBY IRREVOCABLY WAIVES ANY AND ALL RIGHTS TO TRIAL BY JURY WITH RESPECT TO ANY LEGAL PROCEEDING ARISING OUT OF OR RELATING TO THE AGREEMENT, THIS CONFIRMATION OR ANY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 </w:t>
      </w:r>
      <w:r>
        <w:rPr>
          <w:rFonts w:ascii="Times New Roman" w:hAnsi="Times New Roman"/>
          <w:i/>
          <w:color w:val="000000"/>
          <w:sz w:val="20"/>
          <w:u w:val="single"/>
        </w:rPr>
        <w:t>Amendment</w:t>
      </w:r>
      <w:r>
        <w:rPr>
          <w:rFonts w:ascii="Times New Roman" w:hAnsi="Times New Roman"/>
          <w:i/>
          <w:color w:val="000000"/>
          <w:sz w:val="20"/>
        </w:rPr>
        <w:t>.</w:t>
      </w:r>
      <w:r>
        <w:rPr>
          <w:rFonts w:ascii="Times New Roman" w:hAnsi="Times New Roman"/>
          <w:color w:val="000000"/>
          <w:sz w:val="20"/>
        </w:rPr>
        <w:t>  This Confirmation and the Agreement may not be modified, amended or supplemented, except in a written instrument signed by Counterparty and Dealer.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 </w:t>
      </w:r>
      <w:r>
        <w:rPr>
          <w:rFonts w:ascii="Times New Roman" w:hAnsi="Times New Roman"/>
          <w:i/>
          <w:color w:val="000000"/>
          <w:sz w:val="20"/>
          <w:u w:val="single"/>
        </w:rPr>
        <w:t>Counterparts</w:t>
      </w:r>
      <w:r>
        <w:rPr>
          <w:rFonts w:ascii="Times New Roman" w:hAnsi="Times New Roman"/>
          <w:color w:val="000000"/>
          <w:sz w:val="20"/>
        </w:rPr>
        <w:t xml:space="preserve">.  This Confirmation may be executed in several counterparts, each of which shall be deemed an original but all of which together shall constitute one and the same instrument. Delivery of an executed signature page by electronic transmission (e.g. “pdf” or “tif”), or any electronic signature complying with the U.S. federal ESIGN Act of 2000, Uniform Electronic Transactions Act or other applicable law, e.g., </w:t>
      </w:r>
      <w:r>
        <w:rPr>
          <w:rFonts w:ascii="Times New Roman" w:hAnsi="Times New Roman"/>
          <w:color w:val="000000"/>
          <w:sz w:val="20"/>
          <w:u w:val="single"/>
        </w:rPr>
        <w:t>www.docusign.com</w:t>
      </w:r>
      <w:r>
        <w:rPr>
          <w:rFonts w:ascii="Times New Roman" w:hAnsi="Times New Roman"/>
          <w:color w:val="000000"/>
          <w:sz w:val="20"/>
        </w:rPr>
        <w:t>, shall be effective as delivery of a manually executed counterpart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(u) </w:t>
      </w:r>
      <w:r>
        <w:rPr>
          <w:rFonts w:ascii="Times New Roman" w:hAnsi="Times New Roman"/>
          <w:i/>
          <w:color w:val="000000"/>
          <w:sz w:val="20"/>
          <w:u w:val="single"/>
        </w:rPr>
        <w:t>Tax Forms</w:t>
      </w:r>
      <w:r>
        <w:rPr>
          <w:rFonts w:ascii="Times New Roman" w:hAnsi="Times New Roman"/>
          <w:color w:val="000000"/>
          <w:sz w:val="20"/>
        </w:rPr>
        <w:t>.  For the purpose of Sections 4(a)(i) and (ii) of the Agreement, Counterparty agrees to deliver to Dealer one duly executed and completed U.S. Internal Revenue Service Form W-9 (or successor thereto) and Dealer agrees to deliver to Counterparty, as applicable, one duly executed and completed U.S. Internal Revenue Service Form W-8 or Form W-9 (or successor thereto). Such forms or documents shall be delivered upon (i) execution of this Confirmation, (ii) Counterparty or Dealer, as applicable, learning that any such tax form previously provided by it has become obsolete or incorrect, and (iii) reasonable request of the other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(v) </w:t>
      </w:r>
      <w:r>
        <w:rPr>
          <w:rFonts w:ascii="Times New Roman" w:hAnsi="Times New Roman"/>
          <w:i/>
          <w:color w:val="000000"/>
          <w:sz w:val="20"/>
          <w:u w:val="single"/>
        </w:rPr>
        <w:t>Payee Tax Representations</w:t>
      </w:r>
      <w:r>
        <w:rPr>
          <w:rFonts w:ascii="Times New Roman" w:hAnsi="Times New Roman"/>
          <w:i/>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(i) For the purpose of Section 3(f) of the Agreement, Counterparty makes the representations below:</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Counterparty is a corporation for U.S. federal income tax purposes and is organized under the laws of the United States. It is “exempt” within the meaning of Treasury Regulation sections 1.6041-3(p) and 1.6049-4(c) from information reporting on IRS Form 1099 and backup withholding.</w:t>
      </w:r>
    </w:p>
    <w:p>
      <w:pPr>
        <w:pStyle w:val="TextBody"/>
        <w:bidi w:val="0"/>
        <w:spacing w:before="0" w:after="0"/>
        <w:jc w:val="left"/>
        <w:rPr>
          <w:color w:val="000000"/>
        </w:rPr>
      </w:pPr>
      <w:r>
        <w:rPr>
          <w:color w:val="000000"/>
        </w:rPr>
        <w:t> </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(ii) For the purpose of Section 3(f) of the Agreement, Dealer makes the representations below:</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Dealer is a [_______________________________________________________________________].</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(w)  </w:t>
      </w:r>
      <w:r>
        <w:rPr>
          <w:rFonts w:ascii="Times New Roman" w:hAnsi="Times New Roman"/>
          <w:i/>
          <w:color w:val="000000"/>
          <w:sz w:val="20"/>
          <w:u w:val="single"/>
        </w:rPr>
        <w:t>Withholding Tax Imposed on Payments to Non-U.S. Counterparties under the United States Foreign Account Tax Compliance Provisions of the HIRE Act</w:t>
      </w:r>
      <w:r>
        <w:rPr>
          <w:rFonts w:ascii="Times New Roman" w:hAnsi="Times New Roman"/>
          <w:color w:val="000000"/>
          <w:sz w:val="20"/>
        </w:rPr>
        <w:t>.  “Indemnifiable Tax”, as defined in Section 14 of the Agreement, shall not include any withholding tax imposed or collected pursuant to FATCA (a “</w:t>
      </w:r>
      <w:r>
        <w:rPr>
          <w:rFonts w:ascii="Times New Roman" w:hAnsi="Times New Roman"/>
          <w:b/>
          <w:color w:val="000000"/>
          <w:sz w:val="20"/>
        </w:rPr>
        <w:t>FATCA Withholding Tax</w:t>
      </w:r>
      <w:r>
        <w:rPr>
          <w:rFonts w:ascii="Times New Roman" w:hAnsi="Times New Roman"/>
          <w:color w:val="000000"/>
          <w:sz w:val="20"/>
        </w:rPr>
        <w:t>”). “FATCA” is defined as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For the avoidance of doubt, a FATCA Withholding Tax is a Tax the deduction or withholding of which is required by applicable law for the purposes of Section 2(d) of the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(x) </w:t>
      </w:r>
      <w:r>
        <w:rPr>
          <w:rFonts w:ascii="Times New Roman" w:hAnsi="Times New Roman"/>
          <w:i/>
          <w:color w:val="000000"/>
          <w:sz w:val="20"/>
          <w:u w:val="single"/>
        </w:rPr>
        <w:t>Section 871(m)</w:t>
      </w:r>
      <w:r>
        <w:rPr>
          <w:rFonts w:ascii="Times New Roman" w:hAnsi="Times New Roman"/>
          <w:i/>
          <w:color w:val="000000"/>
          <w:sz w:val="20"/>
        </w:rPr>
        <w:t xml:space="preserve">. </w:t>
      </w:r>
      <w:r>
        <w:rPr>
          <w:rFonts w:ascii="Times New Roman" w:hAnsi="Times New Roman"/>
          <w:color w:val="000000"/>
          <w:sz w:val="20"/>
        </w:rPr>
        <w:t>“Indemnifiable Tax”, as defined in Section 14 of the Agreement, shall not include any tax imposed on payments treated as dividends from sources within the United States under Section 871(m) of the Code or any regulations issued thereunder. For the avoidance of doubt, any such tax is a Tax the deduction or withholding of which is required by applicable law for the purposes of Section 2(d) of the Agreement</w:t>
      </w:r>
      <w:r>
        <w:rPr>
          <w:rFonts w:ascii="Times New Roman" w:hAnsi="Times New Roman"/>
          <w:i/>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(y)  </w:t>
      </w:r>
      <w:r>
        <w:rPr>
          <w:rFonts w:ascii="Times New Roman" w:hAnsi="Times New Roman"/>
          <w:i/>
          <w:color w:val="000000"/>
          <w:sz w:val="20"/>
          <w:u w:val="single"/>
        </w:rPr>
        <w:t>Agreements and Acknowledgements Regarding Hedging</w:t>
      </w:r>
      <w:r>
        <w:rPr>
          <w:rFonts w:ascii="Times New Roman" w:hAnsi="Times New Roman"/>
          <w:i/>
          <w:color w:val="000000"/>
          <w:sz w:val="20"/>
        </w:rPr>
        <w:t xml:space="preserve">. </w:t>
      </w:r>
      <w:r>
        <w:rPr>
          <w:rFonts w:ascii="Times New Roman" w:hAnsi="Times New Roman"/>
          <w:color w:val="000000"/>
          <w:sz w:val="20"/>
        </w:rPr>
        <w:t>Counterparty understands, acknowledges and agrees that: (A) at any time on or prior to the final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the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(z) </w:t>
      </w:r>
      <w:r>
        <w:rPr>
          <w:rFonts w:ascii="Times New Roman" w:hAnsi="Times New Roman"/>
          <w:i/>
          <w:color w:val="000000"/>
          <w:sz w:val="20"/>
        </w:rPr>
        <w:t>[</w:t>
      </w:r>
      <w:r>
        <w:rPr>
          <w:rFonts w:ascii="Times New Roman" w:hAnsi="Times New Roman"/>
          <w:i/>
          <w:color w:val="000000"/>
          <w:sz w:val="20"/>
          <w:u w:val="single"/>
        </w:rPr>
        <w:t>U.S. Resolution Stay Protocol</w:t>
      </w:r>
      <w:r>
        <w:rPr>
          <w:rFonts w:ascii="Times New Roman" w:hAnsi="Times New Roman"/>
          <w:color w:val="000000"/>
          <w:sz w:val="20"/>
        </w:rPr>
        <w:t>. Insert QFC boilerplate, if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[(aa) </w:t>
      </w:r>
      <w:r>
        <w:rPr>
          <w:rFonts w:ascii="Times New Roman" w:hAnsi="Times New Roman"/>
          <w:i/>
          <w:color w:val="000000"/>
          <w:sz w:val="20"/>
          <w:u w:val="single"/>
        </w:rPr>
        <w:t>Dealer Boilerplate</w:t>
      </w:r>
      <w:r>
        <w:rPr>
          <w:rFonts w:ascii="Times New Roman" w:hAnsi="Times New Roman"/>
          <w:color w:val="000000"/>
          <w:sz w:val="20"/>
        </w:rPr>
        <w:t>.  Insert additional Dealer boilerplate, if applicable.]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bookmarkStart w:id="206" w:name="z_cp_change_191"/>
      <w:bookmarkStart w:id="207" w:name="z_cp_change_189"/>
      <w:bookmarkStart w:id="208" w:name="z_cp_change_188"/>
      <w:bookmarkEnd w:id="206"/>
      <w:bookmarkEnd w:id="207"/>
      <w:bookmarkEnd w:id="208"/>
      <w:r>
        <w:rPr>
          <w:rFonts w:ascii="Times New Roman" w:hAnsi="Times New Roman"/>
          <w:color w:val="000000"/>
          <w:sz w:val="20"/>
        </w:rPr>
        <w:t xml:space="preserve">Please confirm that the foregoing correctly sets forth the terms of our agreement by </w:t>
      </w:r>
      <w:bookmarkStart w:id="209" w:name="z_cp_change_178"/>
      <w:bookmarkEnd w:id="209"/>
      <w:r>
        <w:rPr>
          <w:rFonts w:ascii="Times New Roman" w:hAnsi="Times New Roman"/>
          <w:color w:val="000000"/>
          <w:sz w:val="20"/>
        </w:rPr>
        <w:t xml:space="preserve">sending to us a letter or telex substantially similar to this facsimile, which letter or telex sets forth the material terms of the Transaction to which </w:t>
      </w:r>
      <w:bookmarkStart w:id="210" w:name="z_cp_change_179"/>
      <w:bookmarkEnd w:id="210"/>
      <w:r>
        <w:rPr>
          <w:rFonts w:ascii="Times New Roman" w:hAnsi="Times New Roman"/>
          <w:color w:val="000000"/>
          <w:sz w:val="20"/>
        </w:rPr>
        <w:t xml:space="preserve">this Confirmation </w:t>
      </w:r>
      <w:bookmarkStart w:id="211" w:name="z_cp_change_180"/>
      <w:bookmarkEnd w:id="211"/>
      <w:r>
        <w:rPr>
          <w:rFonts w:ascii="Times New Roman" w:hAnsi="Times New Roman"/>
          <w:color w:val="000000"/>
          <w:sz w:val="20"/>
        </w:rPr>
        <w:t>relates and indicates your agreement to those terms.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2" w:name="z7c5f318e657247d08dd4209537409f72"/>
      <w:bookmarkStart w:id="213" w:name="z7c5f318e657247d08dd4209537409f72"/>
      <w:bookmarkEnd w:id="213"/>
    </w:p>
    <w:tbl>
      <w:tblPr>
        <w:tblW w:w="1639" w:type="dxa"/>
        <w:jc w:val="left"/>
        <w:tblInd w:w="0" w:type="dxa"/>
        <w:tblLayout w:type="fixed"/>
        <w:tblCellMar>
          <w:top w:w="0" w:type="dxa"/>
          <w:left w:w="0" w:type="dxa"/>
          <w:bottom w:w="0" w:type="dxa"/>
          <w:right w:w="0" w:type="dxa"/>
        </w:tblCellMar>
      </w:tblPr>
      <w:tblGrid>
        <w:gridCol w:w="60"/>
        <w:gridCol w:w="568"/>
        <w:gridCol w:w="1011"/>
      </w:tblGrid>
      <w:tr>
        <w:trPr/>
        <w:tc>
          <w:tcPr>
            <w:tcW w:w="6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0"/>
              <w:jc w:val="left"/>
              <w:rPr/>
            </w:pPr>
            <w:r>
              <w:rPr/>
              <w:t>Yours faithfully,</w:t>
            </w:r>
          </w:p>
        </w:tc>
      </w:tr>
      <w:tr>
        <w:trPr/>
        <w:tc>
          <w:tcPr>
            <w:tcW w:w="6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0"/>
              <w:jc w:val="both"/>
              <w:rPr>
                <w:b/>
              </w:rPr>
            </w:pPr>
            <w:r>
              <w:rPr>
                <w:b/>
              </w:rPr>
              <w:t>[</w:t>
            </w:r>
            <w:r>
              <w:rPr>
                <w:b/>
                <w:i/>
              </w:rPr>
              <w:t>DEALER</w:t>
            </w:r>
            <w:r>
              <w:rPr>
                <w:b/>
              </w:rPr>
              <w:t>]</w:t>
            </w:r>
          </w:p>
        </w:tc>
      </w:tr>
      <w:tr>
        <w:trPr/>
        <w:tc>
          <w:tcPr>
            <w:tcW w:w="6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pPr>
            <w:r>
              <w:rPr/>
              <w:t>By:</w:t>
            </w:r>
          </w:p>
        </w:tc>
        <w:tc>
          <w:tcPr>
            <w:tcW w:w="101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0"/>
              <w:jc w:val="left"/>
              <w:rPr/>
            </w:pPr>
            <w:r>
              <w:rPr/>
              <w:t>Name:</w:t>
            </w:r>
          </w:p>
        </w:tc>
      </w:tr>
      <w:tr>
        <w:trPr/>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0"/>
              <w:jc w:val="left"/>
              <w:rPr/>
            </w:pPr>
            <w:r>
              <w:rPr/>
              <w:t>Title:</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Capped Call Confirmation</w:t>
      </w:r>
      <w:r>
        <w:rPr>
          <w:rFonts w:ascii="Times New Roman" w:hAnsi="Times New Roman"/>
          <w:color w:val="000000"/>
          <w:sz w:val="20"/>
        </w:rPr>
        <w:t>]</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14" w:name="za85ef92900cf4dffb6f69b3be588582e"/>
      <w:bookmarkStart w:id="215" w:name="za85ef92900cf4dffb6f69b3be588582e"/>
      <w:bookmarkEnd w:id="215"/>
    </w:p>
    <w:tbl>
      <w:tblPr>
        <w:tblW w:w="4375" w:type="dxa"/>
        <w:jc w:val="left"/>
        <w:tblInd w:w="0" w:type="dxa"/>
        <w:tblLayout w:type="fixed"/>
        <w:tblCellMar>
          <w:top w:w="0" w:type="dxa"/>
          <w:left w:w="0" w:type="dxa"/>
          <w:bottom w:w="0" w:type="dxa"/>
          <w:right w:w="0" w:type="dxa"/>
        </w:tblCellMar>
      </w:tblPr>
      <w:tblGrid>
        <w:gridCol w:w="305"/>
        <w:gridCol w:w="4010"/>
        <w:gridCol w:w="60"/>
      </w:tblGrid>
      <w:tr>
        <w:trPr/>
        <w:tc>
          <w:tcPr>
            <w:tcW w:w="30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pPr>
            <w:r>
              <w:rPr/>
              <w:t>Agreed and Accepted By:</w:t>
            </w:r>
          </w:p>
        </w:tc>
        <w:tc>
          <w:tcPr>
            <w:tcW w:w="6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b/>
              </w:rPr>
            </w:pPr>
            <w:r>
              <w:rPr>
                <w:b/>
              </w:rPr>
              <w:t>OPENDOOR TECHNOLOGIES INC.</w:t>
            </w:r>
          </w:p>
        </w:tc>
        <w:tc>
          <w:tcPr>
            <w:tcW w:w="6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0"/>
              <w:jc w:val="left"/>
              <w:rPr/>
            </w:pPr>
            <w:r>
              <w:rPr/>
              <w:t>By</w:t>
            </w:r>
          </w:p>
        </w:tc>
        <w:tc>
          <w:tcPr>
            <w:tcW w:w="4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pPr>
            <w:r>
              <w:rPr/>
              <w:t>Name:</w:t>
            </w:r>
          </w:p>
        </w:tc>
        <w:tc>
          <w:tcPr>
            <w:tcW w:w="6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pPr>
            <w:r>
              <w:rPr/>
              <w:t>Title: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Capped Call Confirmation</w:t>
      </w:r>
      <w:r>
        <w:rPr>
          <w:rFonts w:ascii="Times New Roman" w:hAnsi="Times New Roman"/>
          <w:color w:val="000000"/>
          <w:sz w:val="20"/>
        </w:rPr>
        <w:t>]</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Annex 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each Component of the Transaction, the Number of Options and Expiration Date is set forth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6" w:name="z5f892fda63864a0ab016f4c1ce59b04c"/>
      <w:bookmarkStart w:id="217" w:name="z5f892fda63864a0ab016f4c1ce59b04c"/>
      <w:bookmarkEnd w:id="217"/>
    </w:p>
    <w:tbl>
      <w:tblPr>
        <w:tblW w:w="5445" w:type="dxa"/>
        <w:jc w:val="left"/>
        <w:tblInd w:w="0" w:type="dxa"/>
        <w:tblLayout w:type="fixed"/>
        <w:tblCellMar>
          <w:top w:w="0" w:type="dxa"/>
          <w:left w:w="0" w:type="dxa"/>
          <w:bottom w:w="0" w:type="dxa"/>
          <w:right w:w="0" w:type="dxa"/>
        </w:tblCellMar>
      </w:tblPr>
      <w:tblGrid>
        <w:gridCol w:w="1970"/>
        <w:gridCol w:w="1865"/>
        <w:gridCol w:w="1610"/>
      </w:tblGrid>
      <w:tr>
        <w:trPr/>
        <w:tc>
          <w:tcPr>
            <w:tcW w:w="1970" w:type="dxa"/>
            <w:tcBorders/>
            <w:vAlign w:val="center"/>
          </w:tcPr>
          <w:p>
            <w:pPr>
              <w:pStyle w:val="TableContents"/>
              <w:bidi w:val="0"/>
              <w:spacing w:before="0" w:after="0"/>
              <w:jc w:val="center"/>
              <w:rPr>
                <w:u w:val="single"/>
              </w:rPr>
            </w:pPr>
            <w:r>
              <w:rPr>
                <w:u w:val="single"/>
              </w:rPr>
              <w:t>Component Number</w:t>
            </w:r>
          </w:p>
        </w:tc>
        <w:tc>
          <w:tcPr>
            <w:tcW w:w="1865" w:type="dxa"/>
            <w:tcBorders/>
            <w:vAlign w:val="center"/>
          </w:tcPr>
          <w:p>
            <w:pPr>
              <w:pStyle w:val="TableContents"/>
              <w:bidi w:val="0"/>
              <w:spacing w:before="0" w:after="0"/>
              <w:jc w:val="center"/>
              <w:rPr>
                <w:u w:val="single"/>
              </w:rPr>
            </w:pPr>
            <w:r>
              <w:rPr>
                <w:u w:val="single"/>
              </w:rPr>
              <w:t>Number of Options</w:t>
            </w:r>
          </w:p>
        </w:tc>
        <w:tc>
          <w:tcPr>
            <w:tcW w:w="1610" w:type="dxa"/>
            <w:tcBorders/>
            <w:vAlign w:val="center"/>
          </w:tcPr>
          <w:p>
            <w:pPr>
              <w:pStyle w:val="TableContents"/>
              <w:bidi w:val="0"/>
              <w:spacing w:before="0" w:after="0"/>
              <w:jc w:val="center"/>
              <w:rPr>
                <w:u w:val="single"/>
              </w:rPr>
            </w:pPr>
            <w:r>
              <w:rPr>
                <w:u w:val="single"/>
              </w:rPr>
              <w:t>Expiration Date</w:t>
            </w:r>
          </w:p>
        </w:tc>
      </w:tr>
      <w:tr>
        <w:trPr/>
        <w:tc>
          <w:tcPr>
            <w:tcW w:w="1970" w:type="dxa"/>
            <w:tcBorders/>
            <w:vAlign w:val="center"/>
          </w:tcPr>
          <w:p>
            <w:pPr>
              <w:pStyle w:val="TableContents"/>
              <w:bidi w:val="0"/>
              <w:spacing w:before="0" w:after="0"/>
              <w:jc w:val="center"/>
              <w:rPr/>
            </w:pPr>
            <w:r>
              <w:rPr/>
              <w:t>1</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2, 2030</w:t>
            </w:r>
          </w:p>
        </w:tc>
      </w:tr>
      <w:tr>
        <w:trPr/>
        <w:tc>
          <w:tcPr>
            <w:tcW w:w="1970" w:type="dxa"/>
            <w:tcBorders/>
            <w:vAlign w:val="center"/>
          </w:tcPr>
          <w:p>
            <w:pPr>
              <w:pStyle w:val="TableContents"/>
              <w:bidi w:val="0"/>
              <w:spacing w:before="0" w:after="0"/>
              <w:jc w:val="center"/>
              <w:rPr/>
            </w:pPr>
            <w:r>
              <w:rPr/>
              <w:t>2</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3, 2030</w:t>
            </w:r>
          </w:p>
        </w:tc>
      </w:tr>
      <w:tr>
        <w:trPr/>
        <w:tc>
          <w:tcPr>
            <w:tcW w:w="1970" w:type="dxa"/>
            <w:tcBorders/>
            <w:vAlign w:val="center"/>
          </w:tcPr>
          <w:p>
            <w:pPr>
              <w:pStyle w:val="TableContents"/>
              <w:bidi w:val="0"/>
              <w:spacing w:before="0" w:after="0"/>
              <w:jc w:val="center"/>
              <w:rPr/>
            </w:pPr>
            <w:r>
              <w:rPr/>
              <w:t>3</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5, 2030</w:t>
            </w:r>
          </w:p>
        </w:tc>
      </w:tr>
      <w:tr>
        <w:trPr/>
        <w:tc>
          <w:tcPr>
            <w:tcW w:w="1970" w:type="dxa"/>
            <w:tcBorders/>
            <w:vAlign w:val="center"/>
          </w:tcPr>
          <w:p>
            <w:pPr>
              <w:pStyle w:val="TableContents"/>
              <w:bidi w:val="0"/>
              <w:spacing w:before="0" w:after="0"/>
              <w:jc w:val="center"/>
              <w:rPr/>
            </w:pPr>
            <w:r>
              <w:rPr/>
              <w:t>4</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8, 2030</w:t>
            </w:r>
          </w:p>
        </w:tc>
      </w:tr>
      <w:tr>
        <w:trPr/>
        <w:tc>
          <w:tcPr>
            <w:tcW w:w="1970" w:type="dxa"/>
            <w:tcBorders/>
            <w:vAlign w:val="center"/>
          </w:tcPr>
          <w:p>
            <w:pPr>
              <w:pStyle w:val="TableContents"/>
              <w:bidi w:val="0"/>
              <w:spacing w:before="0" w:after="0"/>
              <w:jc w:val="center"/>
              <w:rPr/>
            </w:pPr>
            <w:r>
              <w:rPr/>
              <w:t>5</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9, 2030</w:t>
            </w:r>
          </w:p>
        </w:tc>
      </w:tr>
      <w:tr>
        <w:trPr/>
        <w:tc>
          <w:tcPr>
            <w:tcW w:w="1970" w:type="dxa"/>
            <w:tcBorders/>
            <w:vAlign w:val="center"/>
          </w:tcPr>
          <w:p>
            <w:pPr>
              <w:pStyle w:val="TableContents"/>
              <w:bidi w:val="0"/>
              <w:spacing w:before="0" w:after="0"/>
              <w:jc w:val="center"/>
              <w:rPr/>
            </w:pPr>
            <w:r>
              <w:rPr/>
              <w:t>6</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10, 2030</w:t>
            </w:r>
          </w:p>
        </w:tc>
      </w:tr>
      <w:tr>
        <w:trPr/>
        <w:tc>
          <w:tcPr>
            <w:tcW w:w="1970" w:type="dxa"/>
            <w:tcBorders/>
            <w:vAlign w:val="center"/>
          </w:tcPr>
          <w:p>
            <w:pPr>
              <w:pStyle w:val="TableContents"/>
              <w:bidi w:val="0"/>
              <w:spacing w:before="0" w:after="0"/>
              <w:jc w:val="center"/>
              <w:rPr/>
            </w:pPr>
            <w:r>
              <w:rPr/>
              <w:t>7</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11, 2030</w:t>
            </w:r>
          </w:p>
        </w:tc>
      </w:tr>
      <w:tr>
        <w:trPr/>
        <w:tc>
          <w:tcPr>
            <w:tcW w:w="1970" w:type="dxa"/>
            <w:tcBorders/>
            <w:vAlign w:val="center"/>
          </w:tcPr>
          <w:p>
            <w:pPr>
              <w:pStyle w:val="TableContents"/>
              <w:bidi w:val="0"/>
              <w:spacing w:before="0" w:after="0"/>
              <w:jc w:val="center"/>
              <w:rPr/>
            </w:pPr>
            <w:r>
              <w:rPr/>
              <w:t>8</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12, 2030</w:t>
            </w:r>
          </w:p>
        </w:tc>
      </w:tr>
      <w:tr>
        <w:trPr/>
        <w:tc>
          <w:tcPr>
            <w:tcW w:w="1970" w:type="dxa"/>
            <w:tcBorders/>
            <w:vAlign w:val="center"/>
          </w:tcPr>
          <w:p>
            <w:pPr>
              <w:pStyle w:val="TableContents"/>
              <w:bidi w:val="0"/>
              <w:spacing w:before="0" w:after="0"/>
              <w:jc w:val="center"/>
              <w:rPr/>
            </w:pPr>
            <w:r>
              <w:rPr/>
              <w:t>9</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15, 2030</w:t>
            </w:r>
          </w:p>
        </w:tc>
      </w:tr>
      <w:tr>
        <w:trPr/>
        <w:tc>
          <w:tcPr>
            <w:tcW w:w="1970" w:type="dxa"/>
            <w:tcBorders/>
            <w:vAlign w:val="center"/>
          </w:tcPr>
          <w:p>
            <w:pPr>
              <w:pStyle w:val="TableContents"/>
              <w:bidi w:val="0"/>
              <w:spacing w:before="0" w:after="0"/>
              <w:jc w:val="center"/>
              <w:rPr/>
            </w:pPr>
            <w:r>
              <w:rPr/>
              <w:t>10</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16, 2030</w:t>
            </w:r>
          </w:p>
        </w:tc>
      </w:tr>
      <w:tr>
        <w:trPr/>
        <w:tc>
          <w:tcPr>
            <w:tcW w:w="1970" w:type="dxa"/>
            <w:tcBorders/>
            <w:vAlign w:val="center"/>
          </w:tcPr>
          <w:p>
            <w:pPr>
              <w:pStyle w:val="TableContents"/>
              <w:bidi w:val="0"/>
              <w:spacing w:before="0" w:after="0"/>
              <w:jc w:val="center"/>
              <w:rPr/>
            </w:pPr>
            <w:r>
              <w:rPr/>
              <w:t>11</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17, 2030</w:t>
            </w:r>
          </w:p>
        </w:tc>
      </w:tr>
      <w:tr>
        <w:trPr/>
        <w:tc>
          <w:tcPr>
            <w:tcW w:w="1970" w:type="dxa"/>
            <w:tcBorders/>
            <w:vAlign w:val="center"/>
          </w:tcPr>
          <w:p>
            <w:pPr>
              <w:pStyle w:val="TableContents"/>
              <w:bidi w:val="0"/>
              <w:spacing w:before="0" w:after="0"/>
              <w:jc w:val="center"/>
              <w:rPr/>
            </w:pPr>
            <w:r>
              <w:rPr/>
              <w:t>12</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18, 2030</w:t>
            </w:r>
          </w:p>
        </w:tc>
      </w:tr>
      <w:tr>
        <w:trPr/>
        <w:tc>
          <w:tcPr>
            <w:tcW w:w="1970" w:type="dxa"/>
            <w:tcBorders/>
            <w:vAlign w:val="center"/>
          </w:tcPr>
          <w:p>
            <w:pPr>
              <w:pStyle w:val="TableContents"/>
              <w:bidi w:val="0"/>
              <w:spacing w:before="0" w:after="0"/>
              <w:jc w:val="center"/>
              <w:rPr/>
            </w:pPr>
            <w:r>
              <w:rPr/>
              <w:t>13</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19, 2030</w:t>
            </w:r>
          </w:p>
        </w:tc>
      </w:tr>
      <w:tr>
        <w:trPr/>
        <w:tc>
          <w:tcPr>
            <w:tcW w:w="1970" w:type="dxa"/>
            <w:tcBorders/>
            <w:vAlign w:val="center"/>
          </w:tcPr>
          <w:p>
            <w:pPr>
              <w:pStyle w:val="TableContents"/>
              <w:bidi w:val="0"/>
              <w:spacing w:before="0" w:after="0"/>
              <w:jc w:val="center"/>
              <w:rPr/>
            </w:pPr>
            <w:r>
              <w:rPr/>
              <w:t>14</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22, 2030</w:t>
            </w:r>
          </w:p>
        </w:tc>
      </w:tr>
      <w:tr>
        <w:trPr/>
        <w:tc>
          <w:tcPr>
            <w:tcW w:w="1970" w:type="dxa"/>
            <w:tcBorders/>
            <w:vAlign w:val="center"/>
          </w:tcPr>
          <w:p>
            <w:pPr>
              <w:pStyle w:val="TableContents"/>
              <w:bidi w:val="0"/>
              <w:spacing w:before="0" w:after="0"/>
              <w:jc w:val="center"/>
              <w:rPr/>
            </w:pPr>
            <w:r>
              <w:rPr/>
              <w:t>15</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23, 2030</w:t>
            </w:r>
          </w:p>
        </w:tc>
      </w:tr>
      <w:tr>
        <w:trPr/>
        <w:tc>
          <w:tcPr>
            <w:tcW w:w="1970" w:type="dxa"/>
            <w:tcBorders/>
            <w:vAlign w:val="center"/>
          </w:tcPr>
          <w:p>
            <w:pPr>
              <w:pStyle w:val="TableContents"/>
              <w:bidi w:val="0"/>
              <w:spacing w:before="0" w:after="0"/>
              <w:jc w:val="center"/>
              <w:rPr/>
            </w:pPr>
            <w:r>
              <w:rPr/>
              <w:t>16</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24, 2030</w:t>
            </w:r>
          </w:p>
        </w:tc>
      </w:tr>
      <w:tr>
        <w:trPr/>
        <w:tc>
          <w:tcPr>
            <w:tcW w:w="1970" w:type="dxa"/>
            <w:tcBorders/>
            <w:vAlign w:val="center"/>
          </w:tcPr>
          <w:p>
            <w:pPr>
              <w:pStyle w:val="TableContents"/>
              <w:bidi w:val="0"/>
              <w:spacing w:before="0" w:after="0"/>
              <w:jc w:val="center"/>
              <w:rPr/>
            </w:pPr>
            <w:r>
              <w:rPr/>
              <w:t>17</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25, 2030</w:t>
            </w:r>
          </w:p>
        </w:tc>
      </w:tr>
      <w:tr>
        <w:trPr/>
        <w:tc>
          <w:tcPr>
            <w:tcW w:w="1970" w:type="dxa"/>
            <w:tcBorders/>
            <w:vAlign w:val="center"/>
          </w:tcPr>
          <w:p>
            <w:pPr>
              <w:pStyle w:val="TableContents"/>
              <w:bidi w:val="0"/>
              <w:spacing w:before="0" w:after="0"/>
              <w:jc w:val="center"/>
              <w:rPr/>
            </w:pPr>
            <w:r>
              <w:rPr/>
              <w:t>18</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26, 2030</w:t>
            </w:r>
          </w:p>
        </w:tc>
      </w:tr>
      <w:tr>
        <w:trPr/>
        <w:tc>
          <w:tcPr>
            <w:tcW w:w="1970" w:type="dxa"/>
            <w:tcBorders/>
            <w:vAlign w:val="center"/>
          </w:tcPr>
          <w:p>
            <w:pPr>
              <w:pStyle w:val="TableContents"/>
              <w:bidi w:val="0"/>
              <w:spacing w:before="0" w:after="0"/>
              <w:jc w:val="center"/>
              <w:rPr/>
            </w:pPr>
            <w:r>
              <w:rPr/>
              <w:t>19</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29, 2030</w:t>
            </w:r>
          </w:p>
        </w:tc>
      </w:tr>
      <w:tr>
        <w:trPr/>
        <w:tc>
          <w:tcPr>
            <w:tcW w:w="1970" w:type="dxa"/>
            <w:tcBorders/>
            <w:vAlign w:val="center"/>
          </w:tcPr>
          <w:p>
            <w:pPr>
              <w:pStyle w:val="TableContents"/>
              <w:bidi w:val="0"/>
              <w:spacing w:before="0" w:after="0"/>
              <w:jc w:val="center"/>
              <w:rPr/>
            </w:pPr>
            <w:r>
              <w:rPr/>
              <w:t>20</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30, 2030</w:t>
            </w:r>
          </w:p>
        </w:tc>
      </w:tr>
      <w:tr>
        <w:trPr/>
        <w:tc>
          <w:tcPr>
            <w:tcW w:w="1970" w:type="dxa"/>
            <w:tcBorders/>
            <w:vAlign w:val="center"/>
          </w:tcPr>
          <w:p>
            <w:pPr>
              <w:pStyle w:val="TableContents"/>
              <w:bidi w:val="0"/>
              <w:spacing w:before="0" w:after="0"/>
              <w:jc w:val="center"/>
              <w:rPr/>
            </w:pPr>
            <w:r>
              <w:rPr/>
              <w:t>21</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July 31, 2030</w:t>
            </w:r>
          </w:p>
        </w:tc>
      </w:tr>
      <w:tr>
        <w:trPr/>
        <w:tc>
          <w:tcPr>
            <w:tcW w:w="1970" w:type="dxa"/>
            <w:tcBorders/>
            <w:vAlign w:val="center"/>
          </w:tcPr>
          <w:p>
            <w:pPr>
              <w:pStyle w:val="TableContents"/>
              <w:bidi w:val="0"/>
              <w:spacing w:before="0" w:after="0"/>
              <w:jc w:val="center"/>
              <w:rPr/>
            </w:pPr>
            <w:r>
              <w:rPr/>
              <w:t>22</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August 1, 2030</w:t>
            </w:r>
          </w:p>
        </w:tc>
      </w:tr>
      <w:tr>
        <w:trPr/>
        <w:tc>
          <w:tcPr>
            <w:tcW w:w="1970" w:type="dxa"/>
            <w:tcBorders/>
            <w:vAlign w:val="center"/>
          </w:tcPr>
          <w:p>
            <w:pPr>
              <w:pStyle w:val="TableContents"/>
              <w:bidi w:val="0"/>
              <w:spacing w:before="0" w:after="0"/>
              <w:jc w:val="center"/>
              <w:rPr/>
            </w:pPr>
            <w:r>
              <w:rPr/>
              <w:t>23</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August 2, 2030</w:t>
            </w:r>
          </w:p>
        </w:tc>
      </w:tr>
      <w:tr>
        <w:trPr/>
        <w:tc>
          <w:tcPr>
            <w:tcW w:w="1970" w:type="dxa"/>
            <w:tcBorders/>
            <w:vAlign w:val="center"/>
          </w:tcPr>
          <w:p>
            <w:pPr>
              <w:pStyle w:val="TableContents"/>
              <w:bidi w:val="0"/>
              <w:spacing w:before="0" w:after="0"/>
              <w:jc w:val="center"/>
              <w:rPr/>
            </w:pPr>
            <w:r>
              <w:rPr/>
              <w:t>24</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August 5, 2030</w:t>
            </w:r>
          </w:p>
        </w:tc>
      </w:tr>
      <w:tr>
        <w:trPr/>
        <w:tc>
          <w:tcPr>
            <w:tcW w:w="1970" w:type="dxa"/>
            <w:tcBorders/>
            <w:vAlign w:val="center"/>
          </w:tcPr>
          <w:p>
            <w:pPr>
              <w:pStyle w:val="TableContents"/>
              <w:bidi w:val="0"/>
              <w:spacing w:before="0" w:after="0"/>
              <w:jc w:val="center"/>
              <w:rPr/>
            </w:pPr>
            <w:r>
              <w:rPr/>
              <w:t>25</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August 6, 2030</w:t>
            </w:r>
          </w:p>
        </w:tc>
      </w:tr>
      <w:tr>
        <w:trPr/>
        <w:tc>
          <w:tcPr>
            <w:tcW w:w="1970" w:type="dxa"/>
            <w:tcBorders/>
            <w:vAlign w:val="center"/>
          </w:tcPr>
          <w:p>
            <w:pPr>
              <w:pStyle w:val="TableContents"/>
              <w:bidi w:val="0"/>
              <w:spacing w:before="0" w:after="0"/>
              <w:jc w:val="center"/>
              <w:rPr/>
            </w:pPr>
            <w:r>
              <w:rPr/>
              <w:t>26</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August 7, 2030</w:t>
            </w:r>
          </w:p>
        </w:tc>
      </w:tr>
      <w:tr>
        <w:trPr/>
        <w:tc>
          <w:tcPr>
            <w:tcW w:w="1970" w:type="dxa"/>
            <w:tcBorders/>
            <w:vAlign w:val="center"/>
          </w:tcPr>
          <w:p>
            <w:pPr>
              <w:pStyle w:val="TableContents"/>
              <w:bidi w:val="0"/>
              <w:spacing w:before="0" w:after="0"/>
              <w:jc w:val="center"/>
              <w:rPr/>
            </w:pPr>
            <w:r>
              <w:rPr/>
              <w:t>27</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August 8, 2030</w:t>
            </w:r>
          </w:p>
        </w:tc>
      </w:tr>
      <w:tr>
        <w:trPr/>
        <w:tc>
          <w:tcPr>
            <w:tcW w:w="1970" w:type="dxa"/>
            <w:tcBorders/>
            <w:vAlign w:val="center"/>
          </w:tcPr>
          <w:p>
            <w:pPr>
              <w:pStyle w:val="TableContents"/>
              <w:bidi w:val="0"/>
              <w:spacing w:before="0" w:after="0"/>
              <w:jc w:val="center"/>
              <w:rPr/>
            </w:pPr>
            <w:r>
              <w:rPr/>
              <w:t>28</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August 9, 2030</w:t>
            </w:r>
          </w:p>
        </w:tc>
      </w:tr>
      <w:tr>
        <w:trPr/>
        <w:tc>
          <w:tcPr>
            <w:tcW w:w="1970" w:type="dxa"/>
            <w:tcBorders/>
            <w:vAlign w:val="center"/>
          </w:tcPr>
          <w:p>
            <w:pPr>
              <w:pStyle w:val="TableContents"/>
              <w:bidi w:val="0"/>
              <w:spacing w:before="0" w:after="0"/>
              <w:jc w:val="center"/>
              <w:rPr/>
            </w:pPr>
            <w:r>
              <w:rPr/>
              <w:t>29</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August 12, 2030</w:t>
            </w:r>
          </w:p>
        </w:tc>
      </w:tr>
      <w:tr>
        <w:trPr/>
        <w:tc>
          <w:tcPr>
            <w:tcW w:w="1970" w:type="dxa"/>
            <w:tcBorders/>
            <w:vAlign w:val="center"/>
          </w:tcPr>
          <w:p>
            <w:pPr>
              <w:pStyle w:val="TableContents"/>
              <w:bidi w:val="0"/>
              <w:spacing w:before="0" w:after="0"/>
              <w:jc w:val="center"/>
              <w:rPr/>
            </w:pPr>
            <w:r>
              <w:rPr/>
              <w:t>30</w:t>
            </w:r>
          </w:p>
        </w:tc>
        <w:tc>
          <w:tcPr>
            <w:tcW w:w="186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pPr>
            <w:r>
              <w:rPr/>
              <w:t>August 13, 2030</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Annex A</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18" w:name="ef20080105_ex99-1.htm"/>
      <w:bookmarkStart w:id="219" w:name="ksef20080105_ex991"/>
      <w:bookmarkStart w:id="220" w:name="ef20080105_ex99-1.htm"/>
      <w:bookmarkStart w:id="221" w:name="ksef20080105_ex991"/>
      <w:bookmarkEnd w:id="220"/>
      <w:bookmarkEnd w:id="221"/>
      <w:r>
        <w:br w:type="page"/>
      </w:r>
    </w:p>
    <w:p>
      <w:pPr>
        <w:pStyle w:val="TextBody"/>
        <w:bidi w:val="0"/>
        <w:spacing w:before="0" w:after="0"/>
        <w:jc w:val="right"/>
        <w:rPr>
          <w:rFonts w:ascii="Times New Roman" w:hAnsi="Times New Roman"/>
          <w:b/>
          <w:color w:val="1D1C1D"/>
          <w:sz w:val="20"/>
        </w:rPr>
      </w:pPr>
      <w:r>
        <w:rPr>
          <w:rFonts w:ascii="Times New Roman" w:hAnsi="Times New Roman"/>
          <w:b/>
          <w:color w:val="1D1C1D"/>
          <w:sz w:val="20"/>
        </w:rPr>
        <w:t>Exhibit 99.1</w:t>
      </w:r>
    </w:p>
    <w:p>
      <w:pPr>
        <w:pStyle w:val="TextBody"/>
        <w:bidi w:val="0"/>
        <w:spacing w:before="0" w:after="0"/>
        <w:jc w:val="center"/>
        <w:rPr>
          <w:rFonts w:ascii="Times New Roman" w:hAnsi="Times New Roman"/>
          <w:b/>
          <w:color w:val="1D1C1D"/>
          <w:sz w:val="20"/>
        </w:rPr>
      </w:pPr>
      <w:r>
        <w:rPr>
          <w:rFonts w:ascii="Times New Roman" w:hAnsi="Times New Roman"/>
          <w:b/>
          <w:color w:val="1D1C1D"/>
          <w:sz w:val="20"/>
        </w:rPr>
      </w:r>
    </w:p>
    <w:p>
      <w:pPr>
        <w:pStyle w:val="TextBody"/>
        <w:bidi w:val="0"/>
        <w:spacing w:before="0" w:after="0"/>
        <w:jc w:val="center"/>
        <w:rPr>
          <w:rFonts w:ascii="Times New Roman" w:hAnsi="Times New Roman"/>
          <w:b/>
          <w:color w:val="1D1C1D"/>
          <w:sz w:val="20"/>
        </w:rPr>
      </w:pPr>
      <w:r>
        <w:rPr>
          <w:rFonts w:ascii="Times New Roman" w:hAnsi="Times New Roman"/>
          <w:b/>
          <w:color w:val="1D1C1D"/>
          <w:sz w:val="20"/>
        </w:rPr>
        <w:t>Opendoor Reduces Shares Outstanding by 5% in First-Ever Share Buyback, and Raises $440 Million of Growth Capital at 0% Coupon</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i/>
          <w:color w:val="1D1C1D"/>
          <w:sz w:val="20"/>
        </w:rPr>
      </w:pPr>
      <w:r>
        <w:rPr>
          <w:rFonts w:ascii="Times New Roman" w:hAnsi="Times New Roman"/>
          <w:i/>
          <w:color w:val="1D1C1D"/>
          <w:sz w:val="20"/>
        </w:rPr>
        <w:t>$650 million of 0% coupon convertible notes, concurrent $158 million share repurchase, and capped call transactions, all structured for no expected net share issuance until stock exceeds $10.38 per share, ~3x the current price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1D1C1D"/>
          <w:sz w:val="20"/>
        </w:rPr>
      </w:pPr>
      <w:r>
        <w:rPr>
          <w:rFonts w:ascii="Times New Roman" w:hAnsi="Times New Roman"/>
          <w:color w:val="1D1C1D"/>
          <w:sz w:val="20"/>
        </w:rPr>
        <w:t>SAN FRANCISCO, August 13, 2026 (GLOBE NEWSWIRE) -- Opendoor Technologies Inc. (Nasdaq: OPEN) (the "Company"), a leading e-commerce platform for residential real estate transactions, today announced a series of transactions whose proceeds will add $440 million of growth capital to the balance sheet at a 0% coupon while reducing shares outstanding by 5%. The combined structure is designed so the Company expects no net share issuance until our stock exceeds $10.38 per share. Taken together, the Company believes the combined transactions enhance its capital structure, increase its capacity to fund profitable growth, and are structured to meaningfully limit dilution to existing shareholders.</w:t>
      </w:r>
    </w:p>
    <w:p>
      <w:pPr>
        <w:pStyle w:val="TextBody"/>
        <w:bidi w:val="0"/>
        <w:spacing w:before="0" w:after="0"/>
        <w:jc w:val="left"/>
        <w:rPr/>
      </w:pPr>
      <w:r>
        <w:rPr/>
      </w:r>
    </w:p>
    <w:p>
      <w:pPr>
        <w:pStyle w:val="TextBody"/>
        <w:bidi w:val="0"/>
        <w:spacing w:before="0" w:after="0"/>
        <w:jc w:val="left"/>
        <w:rPr>
          <w:rFonts w:ascii="Times New Roman" w:hAnsi="Times New Roman"/>
          <w:color w:val="1D1C1D"/>
          <w:sz w:val="20"/>
        </w:rPr>
      </w:pPr>
      <w:r>
        <w:rPr>
          <w:rFonts w:ascii="Times New Roman" w:hAnsi="Times New Roman"/>
          <w:color w:val="1D1C1D"/>
          <w:sz w:val="20"/>
        </w:rPr>
        <w:t>The transactions consist of a $650 million offering of 0% Convertible Senior Notes due 2030 (the "Notes"), a $158 million repurchase of approximately 45.3 million shares of Opendoor common stock, and capped call transactions designed to reduce any potential dilution. The offering is expected to settle on August 19, 2026, subject to customary closing conditions.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Highlights:</w:t>
      </w:r>
    </w:p>
    <w:p>
      <w:pPr>
        <w:pStyle w:val="Normal"/>
        <w:bidi w:val="0"/>
        <w:spacing w:before="0" w:after="0"/>
        <w:jc w:val="left"/>
        <w:rPr>
          <w:sz w:val="4"/>
          <w:szCs w:val="4"/>
        </w:rPr>
      </w:pPr>
      <w:r>
        <w:rPr>
          <w:sz w:val="4"/>
          <w:szCs w:val="4"/>
        </w:rPr>
      </w:r>
      <w:bookmarkStart w:id="222" w:name="z7fcb886b58364e2492c64f3595ac05a9"/>
      <w:bookmarkStart w:id="223" w:name="z7fcb886b58364e2492c64f3595ac05a9"/>
      <w:bookmarkEnd w:id="223"/>
    </w:p>
    <w:tbl>
      <w:tblPr>
        <w:tblW w:w="6828" w:type="dxa"/>
        <w:jc w:val="left"/>
        <w:tblInd w:w="0" w:type="dxa"/>
        <w:tblLayout w:type="fixed"/>
        <w:tblCellMar>
          <w:top w:w="0" w:type="dxa"/>
          <w:left w:w="0" w:type="dxa"/>
          <w:bottom w:w="0" w:type="dxa"/>
          <w:right w:w="0" w:type="dxa"/>
        </w:tblCellMar>
      </w:tblPr>
      <w:tblGrid>
        <w:gridCol w:w="38"/>
        <w:gridCol w:w="80"/>
        <w:gridCol w:w="6710"/>
      </w:tblGrid>
      <w:tr>
        <w:trPr/>
        <w:tc>
          <w:tcPr>
            <w:tcW w:w="38" w:type="dxa"/>
            <w:tcBorders/>
            <w:vAlign w:val="center"/>
          </w:tcPr>
          <w:p>
            <w:pPr>
              <w:pStyle w:val="TableContents"/>
              <w:bidi w:val="0"/>
              <w:spacing w:before="0" w:after="283"/>
              <w:jc w:val="left"/>
              <w:rPr/>
            </w:pPr>
            <w:r>
              <w:rPr/>
            </w:r>
          </w:p>
        </w:tc>
        <w:tc>
          <w:tcPr>
            <w:tcW w:w="80" w:type="dxa"/>
            <w:tcBorders/>
            <w:vAlign w:val="center"/>
          </w:tcPr>
          <w:p>
            <w:pPr>
              <w:pStyle w:val="TableContents"/>
              <w:bidi w:val="0"/>
              <w:spacing w:before="0" w:after="283"/>
              <w:jc w:val="left"/>
              <w:rPr>
                <w:rFonts w:ascii="Times New Roman" w:hAnsi="Times New Roman"/>
                <w:color w:val="1D1C1D"/>
                <w:sz w:val="20"/>
              </w:rPr>
            </w:pPr>
            <w:r>
              <w:rPr>
                <w:rFonts w:ascii="Times New Roman" w:hAnsi="Times New Roman"/>
                <w:color w:val="1D1C1D"/>
                <w:sz w:val="20"/>
              </w:rPr>
              <w:t>-</w:t>
            </w:r>
          </w:p>
        </w:tc>
        <w:tc>
          <w:tcPr>
            <w:tcW w:w="6710" w:type="dxa"/>
            <w:tcBorders/>
            <w:vAlign w:val="center"/>
          </w:tcPr>
          <w:p>
            <w:pPr>
              <w:pStyle w:val="TableContents"/>
              <w:bidi w:val="0"/>
              <w:spacing w:before="0" w:after="0"/>
              <w:jc w:val="left"/>
              <w:rPr>
                <w:rFonts w:ascii="Times New Roman" w:hAnsi="Times New Roman"/>
                <w:color w:val="1D1C1D"/>
                <w:sz w:val="20"/>
              </w:rPr>
            </w:pPr>
            <w:r>
              <w:rPr>
                <w:rFonts w:ascii="Times New Roman" w:hAnsi="Times New Roman"/>
                <w:color w:val="1D1C1D"/>
                <w:sz w:val="20"/>
              </w:rPr>
              <w:t>5% reduction in shares outstanding - the first share repurchase in Company history</w:t>
            </w:r>
          </w:p>
        </w:tc>
      </w:tr>
    </w:tbl>
    <w:p>
      <w:pPr>
        <w:pStyle w:val="Normal"/>
        <w:bidi w:val="0"/>
        <w:spacing w:before="0" w:after="0"/>
        <w:jc w:val="left"/>
        <w:rPr>
          <w:sz w:val="4"/>
          <w:szCs w:val="4"/>
        </w:rPr>
      </w:pPr>
      <w:r>
        <w:rPr>
          <w:sz w:val="4"/>
          <w:szCs w:val="4"/>
        </w:rPr>
      </w:r>
      <w:bookmarkStart w:id="224" w:name="z0ead5189084f43daa80e1757b7d02205"/>
      <w:bookmarkStart w:id="225" w:name="z0ead5189084f43daa80e1757b7d02205"/>
      <w:bookmarkEnd w:id="225"/>
    </w:p>
    <w:tbl>
      <w:tblPr>
        <w:tblW w:w="4893" w:type="dxa"/>
        <w:jc w:val="left"/>
        <w:tblInd w:w="0" w:type="dxa"/>
        <w:tblLayout w:type="fixed"/>
        <w:tblCellMar>
          <w:top w:w="0" w:type="dxa"/>
          <w:left w:w="0" w:type="dxa"/>
          <w:bottom w:w="0" w:type="dxa"/>
          <w:right w:w="0" w:type="dxa"/>
        </w:tblCellMar>
      </w:tblPr>
      <w:tblGrid>
        <w:gridCol w:w="38"/>
        <w:gridCol w:w="80"/>
        <w:gridCol w:w="4775"/>
      </w:tblGrid>
      <w:tr>
        <w:trPr/>
        <w:tc>
          <w:tcPr>
            <w:tcW w:w="38" w:type="dxa"/>
            <w:tcBorders/>
            <w:vAlign w:val="center"/>
          </w:tcPr>
          <w:p>
            <w:pPr>
              <w:pStyle w:val="TableContents"/>
              <w:bidi w:val="0"/>
              <w:spacing w:before="0" w:after="283"/>
              <w:jc w:val="left"/>
              <w:rPr/>
            </w:pPr>
            <w:r>
              <w:rPr/>
            </w:r>
          </w:p>
        </w:tc>
        <w:tc>
          <w:tcPr>
            <w:tcW w:w="80" w:type="dxa"/>
            <w:tcBorders/>
            <w:vAlign w:val="center"/>
          </w:tcPr>
          <w:p>
            <w:pPr>
              <w:pStyle w:val="TableContents"/>
              <w:bidi w:val="0"/>
              <w:spacing w:before="0" w:after="283"/>
              <w:jc w:val="left"/>
              <w:rPr>
                <w:rFonts w:ascii="Times New Roman" w:hAnsi="Times New Roman"/>
                <w:color w:val="1D1C1D"/>
                <w:sz w:val="20"/>
              </w:rPr>
            </w:pPr>
            <w:r>
              <w:rPr>
                <w:rFonts w:ascii="Times New Roman" w:hAnsi="Times New Roman"/>
                <w:color w:val="1D1C1D"/>
                <w:sz w:val="20"/>
              </w:rPr>
              <w:t>-</w:t>
            </w:r>
          </w:p>
        </w:tc>
        <w:tc>
          <w:tcPr>
            <w:tcW w:w="4775" w:type="dxa"/>
            <w:tcBorders/>
            <w:vAlign w:val="center"/>
          </w:tcPr>
          <w:p>
            <w:pPr>
              <w:pStyle w:val="TableContents"/>
              <w:bidi w:val="0"/>
              <w:spacing w:before="0" w:after="0"/>
              <w:jc w:val="left"/>
              <w:rPr>
                <w:rFonts w:ascii="Times New Roman" w:hAnsi="Times New Roman"/>
                <w:color w:val="1D1C1D"/>
                <w:sz w:val="20"/>
              </w:rPr>
            </w:pPr>
            <w:r>
              <w:rPr>
                <w:rFonts w:ascii="Times New Roman" w:hAnsi="Times New Roman"/>
                <w:color w:val="1D1C1D"/>
                <w:sz w:val="20"/>
              </w:rPr>
              <w:t>$440 million growth capital at a 0% coupon through 2030</w:t>
            </w:r>
          </w:p>
        </w:tc>
      </w:tr>
    </w:tbl>
    <w:p>
      <w:pPr>
        <w:pStyle w:val="Normal"/>
        <w:bidi w:val="0"/>
        <w:spacing w:before="0" w:after="0"/>
        <w:jc w:val="left"/>
        <w:rPr>
          <w:sz w:val="4"/>
          <w:szCs w:val="4"/>
        </w:rPr>
      </w:pPr>
      <w:r>
        <w:rPr>
          <w:sz w:val="4"/>
          <w:szCs w:val="4"/>
        </w:rPr>
      </w:r>
      <w:bookmarkStart w:id="226" w:name="zf7930e92bb9e4b07a84085db35c0b020"/>
      <w:bookmarkStart w:id="227" w:name="zf7930e92bb9e4b07a84085db35c0b020"/>
      <w:bookmarkEnd w:id="227"/>
    </w:p>
    <w:tbl>
      <w:tblPr>
        <w:tblW w:w="7128" w:type="dxa"/>
        <w:jc w:val="left"/>
        <w:tblInd w:w="0" w:type="dxa"/>
        <w:tblLayout w:type="fixed"/>
        <w:tblCellMar>
          <w:top w:w="0" w:type="dxa"/>
          <w:left w:w="0" w:type="dxa"/>
          <w:bottom w:w="0" w:type="dxa"/>
          <w:right w:w="0" w:type="dxa"/>
        </w:tblCellMar>
      </w:tblPr>
      <w:tblGrid>
        <w:gridCol w:w="38"/>
        <w:gridCol w:w="80"/>
        <w:gridCol w:w="7010"/>
      </w:tblGrid>
      <w:tr>
        <w:trPr/>
        <w:tc>
          <w:tcPr>
            <w:tcW w:w="38" w:type="dxa"/>
            <w:tcBorders/>
            <w:vAlign w:val="center"/>
          </w:tcPr>
          <w:p>
            <w:pPr>
              <w:pStyle w:val="TableContents"/>
              <w:bidi w:val="0"/>
              <w:spacing w:before="0" w:after="283"/>
              <w:jc w:val="left"/>
              <w:rPr/>
            </w:pPr>
            <w:r>
              <w:rPr/>
            </w:r>
          </w:p>
        </w:tc>
        <w:tc>
          <w:tcPr>
            <w:tcW w:w="80" w:type="dxa"/>
            <w:tcBorders/>
            <w:vAlign w:val="center"/>
          </w:tcPr>
          <w:p>
            <w:pPr>
              <w:pStyle w:val="TableContents"/>
              <w:bidi w:val="0"/>
              <w:spacing w:before="0" w:after="283"/>
              <w:jc w:val="left"/>
              <w:rPr>
                <w:rFonts w:ascii="Times New Roman" w:hAnsi="Times New Roman"/>
                <w:color w:val="1D1C1D"/>
                <w:sz w:val="20"/>
              </w:rPr>
            </w:pPr>
            <w:r>
              <w:rPr>
                <w:rFonts w:ascii="Times New Roman" w:hAnsi="Times New Roman"/>
                <w:color w:val="1D1C1D"/>
                <w:sz w:val="20"/>
              </w:rPr>
              <w:t>-</w:t>
            </w:r>
          </w:p>
        </w:tc>
        <w:tc>
          <w:tcPr>
            <w:tcW w:w="7010" w:type="dxa"/>
            <w:tcBorders/>
            <w:vAlign w:val="center"/>
          </w:tcPr>
          <w:p>
            <w:pPr>
              <w:pStyle w:val="TableContents"/>
              <w:bidi w:val="0"/>
              <w:spacing w:before="0" w:after="0"/>
              <w:jc w:val="left"/>
              <w:rPr>
                <w:rFonts w:ascii="Times New Roman" w:hAnsi="Times New Roman"/>
                <w:color w:val="1D1C1D"/>
                <w:sz w:val="20"/>
              </w:rPr>
            </w:pPr>
            <w:r>
              <w:rPr>
                <w:rFonts w:ascii="Times New Roman" w:hAnsi="Times New Roman"/>
                <w:color w:val="1D1C1D"/>
                <w:sz w:val="20"/>
              </w:rPr>
              <w:t>No expected net share issuance until $10.38 per share (and &lt;5% even at $20 per share)</w:t>
            </w:r>
          </w:p>
        </w:tc>
      </w:tr>
    </w:tbl>
    <w:p>
      <w:pPr>
        <w:pStyle w:val="Normal"/>
        <w:bidi w:val="0"/>
        <w:spacing w:before="0" w:after="0"/>
        <w:jc w:val="left"/>
        <w:rPr>
          <w:sz w:val="4"/>
          <w:szCs w:val="4"/>
        </w:rPr>
      </w:pPr>
      <w:r>
        <w:rPr>
          <w:sz w:val="4"/>
          <w:szCs w:val="4"/>
        </w:rPr>
      </w:r>
      <w:bookmarkStart w:id="228" w:name="z3b66c62bace84830bca34fed6ef9b544"/>
      <w:bookmarkStart w:id="229" w:name="z3b66c62bace84830bca34fed6ef9b544"/>
      <w:bookmarkEnd w:id="229"/>
    </w:p>
    <w:tbl>
      <w:tblPr>
        <w:tblW w:w="7788" w:type="dxa"/>
        <w:jc w:val="left"/>
        <w:tblInd w:w="0" w:type="dxa"/>
        <w:tblLayout w:type="fixed"/>
        <w:tblCellMar>
          <w:top w:w="0" w:type="dxa"/>
          <w:left w:w="0" w:type="dxa"/>
          <w:bottom w:w="0" w:type="dxa"/>
          <w:right w:w="0" w:type="dxa"/>
        </w:tblCellMar>
      </w:tblPr>
      <w:tblGrid>
        <w:gridCol w:w="38"/>
        <w:gridCol w:w="80"/>
        <w:gridCol w:w="7670"/>
      </w:tblGrid>
      <w:tr>
        <w:trPr/>
        <w:tc>
          <w:tcPr>
            <w:tcW w:w="38" w:type="dxa"/>
            <w:tcBorders/>
            <w:vAlign w:val="center"/>
          </w:tcPr>
          <w:p>
            <w:pPr>
              <w:pStyle w:val="TableContents"/>
              <w:bidi w:val="0"/>
              <w:spacing w:before="0" w:after="283"/>
              <w:jc w:val="left"/>
              <w:rPr/>
            </w:pPr>
            <w:r>
              <w:rPr/>
            </w:r>
          </w:p>
        </w:tc>
        <w:tc>
          <w:tcPr>
            <w:tcW w:w="80" w:type="dxa"/>
            <w:tcBorders/>
            <w:vAlign w:val="center"/>
          </w:tcPr>
          <w:p>
            <w:pPr>
              <w:pStyle w:val="TableContents"/>
              <w:bidi w:val="0"/>
              <w:spacing w:before="0" w:after="283"/>
              <w:jc w:val="left"/>
              <w:rPr>
                <w:rFonts w:ascii="Times New Roman" w:hAnsi="Times New Roman"/>
                <w:color w:val="1D1C1D"/>
                <w:sz w:val="20"/>
              </w:rPr>
            </w:pPr>
            <w:r>
              <w:rPr>
                <w:rFonts w:ascii="Times New Roman" w:hAnsi="Times New Roman"/>
                <w:color w:val="1D1C1D"/>
                <w:sz w:val="20"/>
              </w:rPr>
              <w:t>-</w:t>
            </w:r>
          </w:p>
        </w:tc>
        <w:tc>
          <w:tcPr>
            <w:tcW w:w="7670" w:type="dxa"/>
            <w:tcBorders/>
            <w:vAlign w:val="center"/>
          </w:tcPr>
          <w:p>
            <w:pPr>
              <w:pStyle w:val="TableContents"/>
              <w:bidi w:val="0"/>
              <w:spacing w:before="0" w:after="0"/>
              <w:jc w:val="left"/>
              <w:rPr>
                <w:rFonts w:ascii="Times New Roman" w:hAnsi="Times New Roman"/>
                <w:color w:val="1D1C1D"/>
                <w:sz w:val="20"/>
              </w:rPr>
            </w:pPr>
            <w:r>
              <w:rPr>
                <w:rFonts w:ascii="Times New Roman" w:hAnsi="Times New Roman"/>
                <w:color w:val="1D1C1D"/>
                <w:sz w:val="20"/>
              </w:rPr>
              <w:t>Structured to support disciplined expansion of inventory and growth beyond ANI profitability</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1D1C1D"/>
          <w:sz w:val="20"/>
        </w:rPr>
      </w:pPr>
      <w:r>
        <w:rPr>
          <w:rFonts w:ascii="Times New Roman" w:hAnsi="Times New Roman"/>
          <w:color w:val="1D1C1D"/>
          <w:sz w:val="20"/>
        </w:rPr>
        <w:t>"Capital should create value for existing shareholders - not come at their expense. This transaction gives us more than $400 million of growth capital at a 0% coupon, reduces our shares outstanding by 5%, and is structured so we expect no net share issuance until our stock is above $10 per share," said Kaz Nejatian, Chief Executive Officer of Opendoor. "How we finance growth matters as much as the growth itself."</w:t>
      </w:r>
    </w:p>
    <w:p>
      <w:pPr>
        <w:pStyle w:val="TextBody"/>
        <w:bidi w:val="0"/>
        <w:spacing w:before="0" w:after="0"/>
        <w:jc w:val="left"/>
        <w:rPr/>
      </w:pPr>
      <w:r>
        <w:rPr/>
      </w:r>
    </w:p>
    <w:p>
      <w:pPr>
        <w:pStyle w:val="TextBody"/>
        <w:bidi w:val="0"/>
        <w:spacing w:before="0" w:after="0"/>
        <w:jc w:val="left"/>
        <w:rPr>
          <w:rFonts w:ascii="Times New Roman" w:hAnsi="Times New Roman"/>
          <w:color w:val="1D1C1D"/>
          <w:sz w:val="20"/>
        </w:rPr>
      </w:pPr>
      <w:r>
        <w:rPr>
          <w:rFonts w:ascii="Times New Roman" w:hAnsi="Times New Roman"/>
          <w:color w:val="1D1C1D"/>
          <w:sz w:val="20"/>
        </w:rPr>
        <w:t>"Quarter after quarter, we are executing against the promises we made. This capital gives us additional capacity to accelerate acquisitions and footprint while maintaining the capital discipline that got us here," Nejatian added.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Growth Capital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After using approximately $158 million of the offering proceeds for the share repurchase and approximately $52.5 million to fund the cost of entering into the capped call transactions, the Company expects to add approximately $440 million of net proceeds (before transaction expenses) to its balance sheet. The Company intends to use these proceeds to support disciplined expansion of home inventory and its market footprint, deploying additional capital into an operating model that the Company believes is on a clear path to sustained Adjusted Net Income profitability at current acquisition volumes.</w:t>
      </w:r>
    </w:p>
    <w:p>
      <w:pPr>
        <w:pStyle w:val="TextBody"/>
        <w:bidi w:val="0"/>
        <w:spacing w:before="0" w:after="0"/>
        <w:jc w:val="left"/>
        <w:rPr>
          <w:color w:val="1D1C1D"/>
        </w:rPr>
      </w:pPr>
      <w:r>
        <w:rPr>
          <w:color w:val="1D1C1D"/>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1D1C1D"/>
          <w:sz w:val="20"/>
        </w:rPr>
      </w:pPr>
      <w:r>
        <w:rPr>
          <w:rFonts w:ascii="Times New Roman" w:hAnsi="Times New Roman"/>
          <w:color w:val="1D1C1D"/>
          <w:sz w:val="20"/>
        </w:rPr>
        <w:t>The combined transactions are also structured to substantially limit potential dilution to existing shareholders. Assuming the Company elects to settle the principal amount of the Notes in cash, the capped call transactions are expected to offset potential share dilution from conversion through $6.98 per share. Above $6.98, the 45.3 million shares repurchased as part of the transaction are expected to offset net share issuance until the stock price exceeds $10.38 per share.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 a result, the combined transaction is expected to result in no net share issuance below approximately $10.38 per share and less than 5% net dilution at a share price of $20.00.  </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Share Repurchase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The Company intends to repurchase approximately 45.3 million shares of common stock for $158 million, or $3.49 per share, concurrently with the offering. This is the first share repurchase in the Company's history as a public company. The repurchase represents approximately 5% of the Company's shares outstanding as of July 28, 2026. The repurchase will be funded with proceeds from the offering and was authorized by the Company's Board of Directors on August 12,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In addition, J. Wood Capital Advisor LLC (“JWCA”), the placement agent for the offering, will purchase approximately $25 million of shares of the Company’s common stock, at a discount to the last reported sale price per share of the Company’s common stock on August 12, 2026, concurrently with the offering. Such repurchases by the Company and purchases by JWCA of shares of the Company’s common stock could increase (or reduce the size of any decrease in) the market price of the Company’s common stock or the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Terms of the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The Notes will be senior, unsecured obligations of the Company and will not bear regular interest, and the principal amount of the Notes will not accrete. The Notes will mature on August 15, 2030, unless earlier converted, redeemed or repurchased.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1D1C1D"/>
          <w:sz w:val="20"/>
        </w:rPr>
      </w:pPr>
      <w:r>
        <w:rPr>
          <w:rFonts w:ascii="Times New Roman" w:hAnsi="Times New Roman"/>
          <w:color w:val="1D1C1D"/>
          <w:sz w:val="20"/>
        </w:rPr>
        <w:t>The Notes will have an initial conversion rate of 212.2466 shares of common stock per $1,000 principal amount of Notes, subject to adjustment in certain circumstances. This is equivalent to an initial conversion price of approximately $4.71 per share and represents a premium of approximately 35% over the last reported sale price of $3.49 per share of the Company's common stock on August 12,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Because the Company expects to settle the principal amount of converted Notes in cash and has entered into the concurrent share repurchase and capped call transactions, the initial conversion price of approximately $4.71 should not be viewed as the price at which the combined transaction begins to increase the Company’s net share count.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Before February 15, 2030, the Notes will be convertible at the option of holders only upon satisfaction of certain conditions and during certain periods, and thereafter at any time until the close of business on the second scheduled trading day immediately before the maturity date. The Company will settle conversions by paying or delivering, as applicable, cash, shares of its common stock, or a combination of cash and shares, at the Company's election.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The Company may redeem the Notes, in whole or in part, on or after February 22, 2029 if the last reported sale price of the common stock exceeds 130% of the conversion price for a specified period, at a redemption price equal to 100% of principal plus accrued and unpaid interest, if any. The Company may also redeem the Notes in whole if less than $75 million aggregate principal amount remains outstanding.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Upon the occurrence of a fundamental change (as defined in the indenture governing the Notes), holders may require the Company to repurchase their Notes for cash at 100% of the principal amount, plus accrued and unpaid interest, if any. The Company will also be required to increase the conversion rate for holders who convert their Notes in connection with certain fundamental changes or a notice of redemption.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Capped Call Transactions</w:t>
      </w:r>
    </w:p>
    <w:p>
      <w:pPr>
        <w:pStyle w:val="TextBody"/>
        <w:bidi w:val="0"/>
        <w:spacing w:before="0" w:after="0"/>
        <w:jc w:val="left"/>
        <w:rPr/>
      </w:pPr>
      <w:r>
        <w:rPr/>
      </w:r>
    </w:p>
    <w:p>
      <w:pPr>
        <w:pStyle w:val="TextBody"/>
        <w:bidi w:val="0"/>
        <w:spacing w:before="0" w:after="0"/>
        <w:jc w:val="left"/>
        <w:rPr>
          <w:rFonts w:ascii="Times New Roman" w:hAnsi="Times New Roman"/>
          <w:color w:val="1D1C1D"/>
          <w:sz w:val="20"/>
        </w:rPr>
      </w:pPr>
      <w:r>
        <w:rPr>
          <w:rFonts w:ascii="Times New Roman" w:hAnsi="Times New Roman"/>
          <w:color w:val="1D1C1D"/>
          <w:sz w:val="20"/>
        </w:rPr>
        <w:t>In connection with the pricing of the Notes, the Company entered into privately negotiated capped call transactions with certain financial institutions (the "option counterparties"). The capped call transactions are generally expected to reduce potential dilution to the common stock upon conversion of the Notes and/or offset any cash payments the Company is required to make in excess of the principal amount of converted Notes, with such reduction and/or offset subject to a cap. The cap price of the capped call transactions is initially $6.98 per share, which represents a premium of 100% over the last reported sale price of $3.49 per share on August 12, 2026, and is subject to certain adjustments.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In connection with establishing their initial hedge positions with respect to the capped call transactions, the option counterparties and/or their respective affiliates expect to enter into various derivative transactions with respect to the Company's common stock and/or purchase shares of its common stock concurrently with or shortly after the Company's entry into the capped call transactions. This activity could increase (or reduce the size of any decrease in) the market price of the Company's common stock or the Notes at that time.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The Company used approximately $52.5 million of the net proceeds from the offering to fund the cost of the capped call transactions.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Advisors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JWCA served as placement agent to the Company in connection with the transactions.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Net Share &amp; Dilution Assumptions</w:t>
        <w:br/>
        <w:br/>
      </w:r>
      <w:r>
        <w:rPr>
          <w:rFonts w:ascii="Times New Roman" w:hAnsi="Times New Roman"/>
          <w:b w:val="false"/>
          <w:color w:val="1D1C1D"/>
          <w:sz w:val="20"/>
        </w:rPr>
        <w:t>The net share and dilution figures in this press release are illustrative estimates, not projections of the Company's future share price or share count. They assume 971.1 million shares of common stock outstanding as of July 28, 2026 with no other change in outstanding shares, that the Company elects to settle the principal amount of converted Notes in cash, that the capped call transactions cover all shares initially underlying the Notes and remain in effect through conversion or maturity, and that neither the conversion rate nor the cap price is adjusted. These figures are not a measure of dilution under GAAP.</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Other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The Notes and any shares of common stock issuable upon conversion of the Notes have not been registered under the Securities Act or any state securities laws, and may not be offered or sold in the United States absent registration or an applicable exemption from registration requirements. This press release does not constitute an offer to sell or a solicitation of an offer to buy any securities, nor shall there be any sale of these securities in any state or jurisdiction in which such offer, solicitation or sale would be unlawful.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For additional information regarding the terms of the transactions, please see the Company's Current Report on Form 8-K to be filed with the Securities and Exchange Commission.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About Opendoor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Opendoor is a leading e-commerce platform for residential real estate transactions whose mission is to power life's progress, one move at a time. Since 2014, Opendoor has provided people across the U.S. with a simple and certain way to sell and buy a home. Opendoor is a team of problem solvers, innovators, and operators who are leading the future of real estate. Opendoor currently operates in markets nationwide.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1D1C1D"/>
          <w:sz w:val="20"/>
        </w:rPr>
        <w:t xml:space="preserve">For more information, please visit </w:t>
      </w:r>
      <w:r>
        <w:rPr>
          <w:rFonts w:ascii="Times New Roman" w:hAnsi="Times New Roman"/>
          <w:color w:val="000000"/>
          <w:sz w:val="20"/>
          <w:u w:val="single"/>
        </w:rPr>
        <w:t>www.opendoor.com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Forward 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1D1C1D"/>
          <w:sz w:val="20"/>
        </w:rPr>
      </w:pPr>
      <w:r>
        <w:rPr>
          <w:rFonts w:ascii="Times New Roman" w:hAnsi="Times New Roman"/>
          <w:color w:val="1D1C1D"/>
          <w:sz w:val="20"/>
        </w:rPr>
        <w:t>This press release contains forward-looking statements within the meaning of Section 27A of the Private Securities Litigation Reform Act of 1995, as amended. All statements contained in this press release that do not relate to matters of historical fact should be considered forward-looking, including statements regarding the anticipated issuance of the Notes, capped call transactions and share repurchase, the Company’s expectations regarding the transactions; the anticipated and expected use of proceeds from any proceeds received from the issuance of the Notes; the effect of the transactions on the Company's capitalization or dilution; and the Company’s potential growth.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These risks include, but are not limited to market risks, trends and conditions. You should carefully consider the foregoing factors and the other risks and uncertainties described under the caption “Risk Factors” in the Company’s most recent Annual Report on Form 10-K filed with the SEC on February 19, 2026, as updated by the Company’s Quarterly Reports on Form 10-Q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The Company does not give any assurance that it will achieve its expectations.</w:t>
      </w:r>
    </w:p>
    <w:p>
      <w:pPr>
        <w:pStyle w:val="TextBody"/>
        <w:bidi w:val="0"/>
        <w:spacing w:before="0" w:after="0"/>
        <w:jc w:val="left"/>
        <w:rPr>
          <w:color w:val="1D1C1D"/>
        </w:rPr>
      </w:pPr>
      <w:r>
        <w:rPr>
          <w:color w:val="1D1C1D"/>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Contact Information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Investors:</w:t>
      </w:r>
    </w:p>
    <w:p>
      <w:pPr>
        <w:pStyle w:val="TextBody"/>
        <w:bidi w:val="0"/>
        <w:spacing w:before="0" w:after="0"/>
        <w:jc w:val="left"/>
        <w:rPr>
          <w:rFonts w:ascii="Times New Roman" w:hAnsi="Times New Roman"/>
          <w:color w:val="1D1C1D"/>
          <w:sz w:val="20"/>
          <w:u w:val="single"/>
        </w:rPr>
      </w:pPr>
      <w:r>
        <w:rPr>
          <w:rFonts w:ascii="Times New Roman" w:hAnsi="Times New Roman"/>
          <w:color w:val="1D1C1D"/>
          <w:sz w:val="20"/>
          <w:u w:val="single"/>
        </w:rPr>
        <w:t>investors@opendoor.com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1D1C1D"/>
          <w:sz w:val="20"/>
        </w:rPr>
      </w:pPr>
      <w:r>
        <w:rPr>
          <w:rFonts w:ascii="Times New Roman" w:hAnsi="Times New Roman"/>
          <w:b/>
          <w:color w:val="1D1C1D"/>
          <w:sz w:val="20"/>
        </w:rPr>
        <w:t>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Contact Kaz on X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@Nejatian</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24830</Words>
  <Characters>133036</Characters>
  <CharactersWithSpaces>157777</CharactersWithSpaces>
  <Paragraphs>1248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