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16, 2025</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Opendoor Technologies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920" w:type="dxa"/>
        <w:tblCellMar>
          <w:top w:w="0" w:type="dxa"/>
          <w:left w:w="0" w:type="dxa"/>
          <w:bottom w:w="0" w:type="dxa"/>
          <w:right w:w="0" w:type="dxa"/>
        </w:tblCellMar>
      </w:tblPr>
      <w:tr>
        <w:trPr>
          <w:trHeight w:val="238"/>
        </w:trPr>
        <w:tc>
          <w:tcPr>
            <w:tcW w:w="2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1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001-39253</w:t>
            </w:r>
          </w:p>
        </w:tc>
        <w:tc>
          <w:tcPr>
            <w:tcW w:w="19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30-1318214</w:t>
            </w:r>
          </w:p>
        </w:tc>
      </w:tr>
      <w:tr>
        <w:trPr>
          <w:trHeight w:val="252"/>
        </w:trPr>
        <w:tc>
          <w:tcPr>
            <w:tcW w:w="20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(Commission</w:t>
            </w:r>
          </w:p>
        </w:tc>
        <w:tc>
          <w:tcPr>
            <w:tcW w:w="19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File Number)</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4"/>
        </w:trPr>
        <w:tc>
          <w:tcPr>
            <w:tcW w:w="7200" w:type="dxa"/>
            <w:vAlign w:val="bottom"/>
            <w:gridSpan w:val="2"/>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rPr>
              <w:t>410 N. Scottsdale Road, Suite 1000</w:t>
            </w:r>
          </w:p>
        </w:tc>
        <w:tc>
          <w:tcPr>
            <w:tcW w:w="1920" w:type="dxa"/>
            <w:vAlign w:val="bottom"/>
          </w:tcPr>
          <w:p>
            <w:pPr>
              <w:spacing w:after="0"/>
              <w:rPr>
                <w:sz w:val="24"/>
                <w:szCs w:val="24"/>
                <w:color w:val="auto"/>
              </w:rPr>
            </w:pPr>
          </w:p>
        </w:tc>
      </w:tr>
      <w:tr>
        <w:trPr>
          <w:trHeight w:val="270"/>
        </w:trPr>
        <w:tc>
          <w:tcPr>
            <w:tcW w:w="2060" w:type="dxa"/>
            <w:vAlign w:val="bottom"/>
          </w:tcPr>
          <w:p>
            <w:pPr>
              <w:spacing w:after="0"/>
              <w:rPr>
                <w:sz w:val="23"/>
                <w:szCs w:val="23"/>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Tempe, AZ</w:t>
            </w:r>
          </w:p>
        </w:tc>
        <w:tc>
          <w:tcPr>
            <w:tcW w:w="19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85288</w:t>
            </w:r>
          </w:p>
        </w:tc>
      </w:tr>
      <w:tr>
        <w:trPr>
          <w:trHeight w:val="270"/>
        </w:trPr>
        <w:tc>
          <w:tcPr>
            <w:tcW w:w="7200" w:type="dxa"/>
            <w:vAlign w:val="bottom"/>
            <w:gridSpan w:val="2"/>
          </w:tcPr>
          <w:p>
            <w:pPr>
              <w:jc w:val="center"/>
              <w:ind w:right="14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9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(Zip Code)</w:t>
            </w:r>
          </w:p>
        </w:tc>
      </w:tr>
      <w:tr>
        <w:trPr>
          <w:trHeight w:val="468"/>
        </w:trPr>
        <w:tc>
          <w:tcPr>
            <w:tcW w:w="2060" w:type="dxa"/>
            <w:vAlign w:val="bottom"/>
          </w:tcPr>
          <w:p>
            <w:pPr>
              <w:spacing w:after="0"/>
              <w:rPr>
                <w:sz w:val="24"/>
                <w:szCs w:val="24"/>
                <w:color w:val="auto"/>
              </w:rPr>
            </w:pPr>
          </w:p>
        </w:tc>
        <w:tc>
          <w:tcPr>
            <w:tcW w:w="51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(480) 618-6760</w:t>
            </w:r>
          </w:p>
        </w:tc>
        <w:tc>
          <w:tcPr>
            <w:tcW w:w="1920" w:type="dxa"/>
            <w:vAlign w:val="bottom"/>
          </w:tcPr>
          <w:p>
            <w:pPr>
              <w:spacing w:after="0"/>
              <w:rPr>
                <w:sz w:val="24"/>
                <w:szCs w:val="24"/>
                <w:color w:val="auto"/>
              </w:rPr>
            </w:pPr>
          </w:p>
        </w:tc>
      </w:tr>
      <w:tr>
        <w:trPr>
          <w:trHeight w:val="234"/>
        </w:trPr>
        <w:tc>
          <w:tcPr>
            <w:tcW w:w="2060" w:type="dxa"/>
            <w:vAlign w:val="bottom"/>
          </w:tcPr>
          <w:p>
            <w:pPr>
              <w:spacing w:after="0"/>
              <w:rPr>
                <w:sz w:val="20"/>
                <w:szCs w:val="20"/>
                <w:color w:val="auto"/>
              </w:rPr>
            </w:pPr>
          </w:p>
        </w:tc>
        <w:tc>
          <w:tcPr>
            <w:tcW w:w="5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20" w:type="dxa"/>
            <w:vAlign w:val="bottom"/>
          </w:tcPr>
          <w:p>
            <w:pPr>
              <w:spacing w:after="0"/>
              <w:rPr>
                <w:sz w:val="20"/>
                <w:szCs w:val="20"/>
                <w:color w:val="auto"/>
              </w:rPr>
            </w:pPr>
          </w:p>
        </w:tc>
      </w:tr>
    </w:tbl>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56"/>
        </w:trPr>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4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OPEN</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6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812800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Opendoor Disclosure Channels To Disseminate Information</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Opendoor Technologies Inc. (the “Company” or “Opendoor”) investors and others should note that the Company has used, and intends to continue to use, Opendoor’s website, press releases, Securities and Exchange Commission (“SEC”) filings, blogs, community hub and social media accounts, as well as the X (formerly known as Twitter) accounts of its Chief Executive Officer, @CanadaKaz, and @Opendoor, as means of disclosing material non-public information and for complying with its disclosure obligations under Regulation FD. Opendoor encourages investors and others to review the information Opendoor makes public in the foregoing locations as such information could be deemed to be material information. Please note that this list may be updated from time to time. Investors should subscribe to these social media accounts and Opendoor’s investor alerts, in addition to following its press releases, SEC filings, public conference calls and webcasts.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Opendoor Markets Expansion</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Opendoor intends to expand its product offerings to allow the Company to provide services through the entire continental United States in the coming weeks, through one or more of its direct cash offer, cash plus or working with its partner agents to provide listing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Current Report on Form 8-K (this “Report”) contains forward-looking statements within the meaning of Section 27A the Private Securities Litigation Reform Act of 1995, as amended. All statements contained in this Report that do not relate to matters of historical fact should be considered forward-looking, including statements regarding our product and market expansion plans, our new and enhanced product offerings, and our business strategy. These forward-looking statements generally are identified by the words “anticipate”, “believe”, “contemplate”, “continue”, “could”, “estimate”, “expect”, “forecast”, “future”, “guidance”, “intend”, “may”, “might”, “opportunity”, “outlook”, “plan”, “possible”, “potential”, “predict”, “project”, “should”, “strategy”, “strive”, “target”, “vision”, “will”, or “would”, any negative of these words or other similar terms or expressions.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that can cause actual results to differ materially from those in such forward-looking statements. The factors that could cause or contribute to actual future events to differ materially from the forward-looking statements in this Report include but are not limited to: the current and future health and stability of the economy, financial conditions and residential housing market, including any extended downturns or slowdowns; changes in general economic and financial conditions (including federal monetary policy, the imposition of tariffs and price or exchange controls, interest rates, inflation, actual or anticipated recession, home price fluctuations, and housing inventory), as well as the probability of such changes occurring, that impact demand for our products and services, lower our profitability or reduce our access to future financings; actual or anticipated fluctuations in our financial condition and results of operations; changes in projected operational and financial results; our real estate assets and increased competition in the U.S. residential real estate industry; our ability to operate and grow our core business products, including the ability to obtain sufficient financing and resell purchased homes; investment of resources to pursue strategies and develop new products and services that may not prove effective or that are not attractive to customers and/or partners or that do not allow us to compete successfully; our ability to acquire and resell homes profitably; our ability to grow market share in our existing markets or any new markets we may enter; our ability to manage our growth effectively; our ability to expeditiously sell and appropriately price our inventory; our ability to access sources of capital, including debt financing and securitization funding to finance our real estate inventories and other sources of capital to finance operations and growth; our ability to maintain and enhance our products and brand, and to attract customers; our ability to manage, develop and refine our digital platform, including our automated pricing and valuation technology; our ability to realize expected benefits from our restructuring and cost reduction efforts; our ability to comply with multiple listing service rules and requirements to access and use listing data, and to maintain or establish relationships with listings and data providers; our ability to obtain or maintain licenses and permits to support our current and future business operations; acquisitions, strategic partnerships, joint ventures, capital-raising activities or other corporate transactions or commitments by us or our competitors; actual or anticipated changes in technology, products, markets or services by us or our competitors; our ability to protect our brand and intellectual property; our success in retaining or recruiting, or changes required in, our officers, key employees and/or directors, including our Chief Executive Officer role; the impact of the regulatory environment and potential regulatory instability within our industry and complexities with compliance related to such</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2" w:name="page3"/>
    <w:bookmarkEnd w:id="2"/>
    <w:p>
      <w:pPr>
        <w:spacing w:after="0" w:line="253" w:lineRule="auto"/>
        <w:rPr>
          <w:sz w:val="20"/>
          <w:szCs w:val="20"/>
          <w:color w:val="auto"/>
        </w:rPr>
      </w:pPr>
      <w:r>
        <w:rPr>
          <w:rFonts w:ascii="Times New Roman" w:cs="Times New Roman" w:eastAsia="Times New Roman" w:hAnsi="Times New Roman"/>
          <w:sz w:val="18"/>
          <w:szCs w:val="18"/>
          <w:color w:val="auto"/>
        </w:rPr>
        <w:t>environment; any future impact of pandemics, epidemics, or other public health crises on our ability to operate, demand for our products and services, or general economic conditions; our ability to maintain our listing on the Nasdaq Global Select Market; changes in laws or government regulation affecting our business; the impact of pending or future litigation or regulatory actions; and the volatility in the price of our common stock. The foregoing list of factors is not exhaustive. You should carefully consider the foregoing factors and the other risks and uncertainties described under the caption “Risk Factors” in our most recent Annual Report on Form 10-K filed with the Securities and Exchange Commission (the “SEC”) on February 27, 2025, as updated by our Quarterly Report on Form 10-Q for the quarter ended June 30, 2025 and other filings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except as required by law, we assume no obligation and do not intend to update or revise these forward-looking statements, whether as a result of new information, future events, or otherwise. We do not give any assurance that we will achieve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3" w:name="page4"/>
    <w:bookmarkEnd w:id="3"/>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72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Opendoor Technologies Inc.</w:t>
            </w:r>
          </w:p>
        </w:tc>
      </w:tr>
      <w:tr>
        <w:trPr>
          <w:trHeight w:val="48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17, 2025</w:t>
            </w:r>
          </w:p>
        </w:tc>
        <w:tc>
          <w:tcPr>
            <w:tcW w:w="29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Kaz Nejatian</w:t>
            </w:r>
          </w:p>
        </w:tc>
      </w:tr>
      <w:tr>
        <w:trPr>
          <w:trHeight w:val="218"/>
        </w:trPr>
        <w:tc>
          <w:tcPr>
            <w:tcW w:w="3940" w:type="dxa"/>
            <w:vAlign w:val="bottom"/>
          </w:tcPr>
          <w:p>
            <w:pPr>
              <w:spacing w:after="0"/>
              <w:rPr>
                <w:sz w:val="18"/>
                <w:szCs w:val="18"/>
                <w:color w:val="auto"/>
              </w:rPr>
            </w:pPr>
          </w:p>
        </w:tc>
        <w:tc>
          <w:tcPr>
            <w:tcW w:w="29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Name:</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Kaz Nejatian</w:t>
            </w:r>
          </w:p>
        </w:tc>
      </w:tr>
      <w:tr>
        <w:trPr>
          <w:trHeight w:val="234"/>
        </w:trPr>
        <w:tc>
          <w:tcPr>
            <w:tcW w:w="3940" w:type="dxa"/>
            <w:vAlign w:val="bottom"/>
          </w:tcPr>
          <w:p>
            <w:pPr>
              <w:spacing w:after="0"/>
              <w:rPr>
                <w:sz w:val="20"/>
                <w:szCs w:val="20"/>
                <w:color w:val="auto"/>
              </w:rPr>
            </w:pPr>
          </w:p>
        </w:tc>
        <w:tc>
          <w:tcPr>
            <w:tcW w:w="29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1240"/>
      </w:cols>
      <w:pgMar w:left="320" w:top="12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2025-09-17T06:04:31Z</dcterms:created>
  <dcterms:modified xsi:type="dcterms:W3CDTF">2025-09-17T06:04:31Z</dcterms:modified>
</cp:coreProperties>
</file>