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26, 2026</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1295 West Washington Street, Suite 115</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K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$9.00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OPENW</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A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$13.00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OPENL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Z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$17.00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OPENZ</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Opendoor Disclosure Channels To Disseminate Information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212529"/>
        </w:rPr>
        <w:t>As previously disclosed in a Form 8-K filed on September 17, 2025, Opendoor Technologies Inc. (the “Company” or “Opendoor”) investors and others should note that the Company has used, and intends to continue to use, Opendoor’s website, press releases, Securities and Exchange Commission (“SEC”) filings, blogs, community hub and social media accounts, as well as the X (formerly known as Twitter) accounts of its Chief Executive Officer, Kaz Nejatian, and @Opendoor, as means of disclosing material non-public information and for complying with its disclosure obligations under Regulation FD.</w:t>
      </w:r>
    </w:p>
    <w:p>
      <w:pPr>
        <w:spacing w:after="0" w:line="16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212529"/>
        </w:rPr>
        <w:t>Mr. Nejatian’s previous X handle is no longer active and thus is no longer a forum through which the Company will disclose material non-public information. The Company intends to use Mr. Nejatian’s new X handle, @Nejatian, as a means of disclosing material non-public information and for complying with its disclosure obligations under Regulation FD.</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12529"/>
        </w:rPr>
        <w:t>Opendoor encourages investors and others to review the information Opendoor makes public in the foregoing locations as such information could be deemed to be material information. Please note that this list may be updated from time to time. Investors should subscribe to these social media accounts and Opendoor’s investor alerts, in addition to following its press releases, SEC filings,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2026</w:t>
            </w: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Kaz Nejatian</w:t>
            </w:r>
          </w:p>
        </w:tc>
      </w:tr>
      <w:tr>
        <w:trPr>
          <w:trHeight w:val="218"/>
        </w:trPr>
        <w:tc>
          <w:tcPr>
            <w:tcW w:w="3840" w:type="dxa"/>
            <w:vAlign w:val="bottom"/>
          </w:tcPr>
          <w:p>
            <w:pPr>
              <w:spacing w:after="0"/>
              <w:rPr>
                <w:sz w:val="18"/>
                <w:szCs w:val="18"/>
                <w:color w:val="auto"/>
              </w:rPr>
            </w:pP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 Nejatian</w:t>
            </w:r>
          </w:p>
        </w:tc>
      </w:tr>
      <w:tr>
        <w:trPr>
          <w:trHeight w:val="234"/>
        </w:trPr>
        <w:tc>
          <w:tcPr>
            <w:tcW w:w="3840" w:type="dxa"/>
            <w:vAlign w:val="bottom"/>
          </w:tcPr>
          <w:p>
            <w:pPr>
              <w:spacing w:after="0"/>
              <w:rPr>
                <w:sz w:val="20"/>
                <w:szCs w:val="20"/>
                <w:color w:val="auto"/>
              </w:rPr>
            </w:pP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2026-01-26T07:58:30Z</dcterms:created>
  <dcterms:modified xsi:type="dcterms:W3CDTF">2026-01-26T07:58:30Z</dcterms:modified>
</cp:coreProperties>
</file>