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150495</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141605</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6,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Opendoor Technologies Inc.</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p>
      <w:pPr>
        <w:spacing w:after="0" w:line="200" w:lineRule="exact"/>
        <w:rPr>
          <w:sz w:val="24"/>
          <w:szCs w:val="24"/>
          <w:color w:val="auto"/>
        </w:rPr>
      </w:pPr>
    </w:p>
    <w:p>
      <w:pPr>
        <w:spacing w:after="0" w:line="26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001-39253</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30-1318214</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00" w:space="720"/>
            <w:col w:w="3140"/>
          </w:cols>
          <w:pgMar w:left="320" w:top="63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410 N. Scottsdale Road, Suite 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 AZ 85288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618-6760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637" w:right="339" w:bottom="144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OPEN</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On September 10, 2025, Opendoor Technologies Inc. (the “</w:t>
      </w:r>
      <w:r>
        <w:rPr>
          <w:rFonts w:ascii="Times New Roman" w:cs="Times New Roman" w:eastAsia="Times New Roman" w:hAnsi="Times New Roman"/>
          <w:sz w:val="18"/>
          <w:szCs w:val="18"/>
          <w:u w:val="single" w:color="auto"/>
          <w:color w:val="212529"/>
        </w:rPr>
        <w:t>Company</w:t>
      </w:r>
      <w:r>
        <w:rPr>
          <w:rFonts w:ascii="Times New Roman" w:cs="Times New Roman" w:eastAsia="Times New Roman" w:hAnsi="Times New Roman"/>
          <w:sz w:val="18"/>
          <w:szCs w:val="18"/>
          <w:color w:val="212529"/>
        </w:rPr>
        <w:t>”) entered into Stock Purchase Agreements with Khosla Ventures Opportunity III, LP (the “</w:t>
      </w:r>
      <w:r>
        <w:rPr>
          <w:rFonts w:ascii="Times New Roman" w:cs="Times New Roman" w:eastAsia="Times New Roman" w:hAnsi="Times New Roman"/>
          <w:sz w:val="18"/>
          <w:szCs w:val="18"/>
          <w:u w:val="single" w:color="auto"/>
          <w:color w:val="212529"/>
        </w:rPr>
        <w:t>Khosla Ventures Purchase Agreement</w:t>
      </w:r>
      <w:r>
        <w:rPr>
          <w:rFonts w:ascii="Times New Roman" w:cs="Times New Roman" w:eastAsia="Times New Roman" w:hAnsi="Times New Roman"/>
          <w:sz w:val="18"/>
          <w:szCs w:val="18"/>
          <w:color w:val="212529"/>
        </w:rPr>
        <w:t>”), Eric Wu (the “</w:t>
      </w:r>
      <w:r>
        <w:rPr>
          <w:rFonts w:ascii="Times New Roman" w:cs="Times New Roman" w:eastAsia="Times New Roman" w:hAnsi="Times New Roman"/>
          <w:sz w:val="18"/>
          <w:szCs w:val="18"/>
          <w:u w:val="single" w:color="auto"/>
          <w:color w:val="212529"/>
        </w:rPr>
        <w:t>Eric Wu Purchase Agreement</w:t>
      </w:r>
      <w:r>
        <w:rPr>
          <w:rFonts w:ascii="Times New Roman" w:cs="Times New Roman" w:eastAsia="Times New Roman" w:hAnsi="Times New Roman"/>
          <w:sz w:val="18"/>
          <w:szCs w:val="18"/>
          <w:color w:val="212529"/>
        </w:rPr>
        <w:t>”) and certain other purchasers (the “</w:t>
      </w:r>
      <w:r>
        <w:rPr>
          <w:rFonts w:ascii="Times New Roman" w:cs="Times New Roman" w:eastAsia="Times New Roman" w:hAnsi="Times New Roman"/>
          <w:sz w:val="18"/>
          <w:szCs w:val="18"/>
          <w:u w:val="single" w:color="auto"/>
          <w:color w:val="212529"/>
        </w:rPr>
        <w:t>Other Purchase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Agreements</w:t>
      </w:r>
      <w:r>
        <w:rPr>
          <w:rFonts w:ascii="Times New Roman" w:cs="Times New Roman" w:eastAsia="Times New Roman" w:hAnsi="Times New Roman"/>
          <w:sz w:val="18"/>
          <w:szCs w:val="18"/>
          <w:color w:val="212529"/>
        </w:rPr>
        <w:t>” and together with the Khosla Ventures Purchase Agreement and the Eric Wu Purchase Agreement, the “</w:t>
      </w:r>
      <w:r>
        <w:rPr>
          <w:rFonts w:ascii="Times New Roman" w:cs="Times New Roman" w:eastAsia="Times New Roman" w:hAnsi="Times New Roman"/>
          <w:sz w:val="18"/>
          <w:szCs w:val="18"/>
          <w:u w:val="single" w:color="auto"/>
          <w:color w:val="212529"/>
        </w:rPr>
        <w:t>Purchase Agreements</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Pursuant to the terms of the Purchase Agreements, Khosla Ventures Opportunity III, LP agreed to purchase </w:t>
      </w:r>
      <w:r>
        <w:rPr>
          <w:rFonts w:ascii="Times New Roman" w:cs="Times New Roman" w:eastAsia="Times New Roman" w:hAnsi="Times New Roman"/>
          <w:sz w:val="18"/>
          <w:szCs w:val="18"/>
          <w:color w:val="000000"/>
        </w:rPr>
        <w:t>5,263,158</w:t>
      </w:r>
      <w:r>
        <w:rPr>
          <w:rFonts w:ascii="Times New Roman" w:cs="Times New Roman" w:eastAsia="Times New Roman" w:hAnsi="Times New Roman"/>
          <w:sz w:val="18"/>
          <w:szCs w:val="18"/>
          <w:color w:val="212529"/>
        </w:rPr>
        <w:t xml:space="preserve"> shares of common stock of the Company, par value of $0.0001 per share (the “</w:t>
      </w:r>
      <w:r>
        <w:rPr>
          <w:rFonts w:ascii="Times New Roman" w:cs="Times New Roman" w:eastAsia="Times New Roman" w:hAnsi="Times New Roman"/>
          <w:sz w:val="18"/>
          <w:szCs w:val="18"/>
          <w:u w:val="single" w:color="auto"/>
          <w:color w:val="212529"/>
        </w:rPr>
        <w:t>Common Stock</w:t>
      </w:r>
      <w:r>
        <w:rPr>
          <w:rFonts w:ascii="Times New Roman" w:cs="Times New Roman" w:eastAsia="Times New Roman" w:hAnsi="Times New Roman"/>
          <w:sz w:val="18"/>
          <w:szCs w:val="18"/>
          <w:color w:val="212529"/>
        </w:rPr>
        <w:t xml:space="preserve">”) for an aggregate investment of $35 million in a private offering, Eric Wu agreed to purchase </w:t>
      </w:r>
      <w:r>
        <w:rPr>
          <w:rFonts w:ascii="Times New Roman" w:cs="Times New Roman" w:eastAsia="Times New Roman" w:hAnsi="Times New Roman"/>
          <w:sz w:val="18"/>
          <w:szCs w:val="18"/>
          <w:color w:val="000000"/>
        </w:rPr>
        <w:t>751,879</w:t>
      </w:r>
      <w:r>
        <w:rPr>
          <w:rFonts w:ascii="Times New Roman" w:cs="Times New Roman" w:eastAsia="Times New Roman" w:hAnsi="Times New Roman"/>
          <w:sz w:val="18"/>
          <w:szCs w:val="18"/>
          <w:color w:val="212529"/>
        </w:rPr>
        <w:t xml:space="preserve"> shares of Common Stock for an aggregate investment of $5 million in a private offering, and certain other purchasers agreed to purchase </w:t>
      </w:r>
      <w:r>
        <w:rPr>
          <w:rFonts w:ascii="Times New Roman" w:cs="Times New Roman" w:eastAsia="Times New Roman" w:hAnsi="Times New Roman"/>
          <w:sz w:val="18"/>
          <w:szCs w:val="18"/>
          <w:color w:val="000000"/>
        </w:rPr>
        <w:t xml:space="preserve">150,375 </w:t>
      </w:r>
      <w:r>
        <w:rPr>
          <w:rFonts w:ascii="Times New Roman" w:cs="Times New Roman" w:eastAsia="Times New Roman" w:hAnsi="Times New Roman"/>
          <w:sz w:val="18"/>
          <w:szCs w:val="18"/>
          <w:color w:val="212529"/>
        </w:rPr>
        <w:t>shares of Common Stock for an aggregate investment of $1 million in a private offering (collectively, the “</w:t>
      </w:r>
      <w:r>
        <w:rPr>
          <w:rFonts w:ascii="Times New Roman" w:cs="Times New Roman" w:eastAsia="Times New Roman" w:hAnsi="Times New Roman"/>
          <w:sz w:val="18"/>
          <w:szCs w:val="18"/>
          <w:u w:val="single" w:color="auto"/>
          <w:color w:val="212529"/>
        </w:rPr>
        <w:t>PIPE Transactions</w:t>
      </w:r>
      <w:r>
        <w:rPr>
          <w:rFonts w:ascii="Times New Roman" w:cs="Times New Roman" w:eastAsia="Times New Roman" w:hAnsi="Times New Roman"/>
          <w:sz w:val="18"/>
          <w:szCs w:val="18"/>
          <w:color w:val="212529"/>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PIPE Transactions, the Company issued an aggregate of 6,165,412 shares of Common Stock. The shares were issued in a private placement under Section 4(a)(2) of the Securities Act of 1933, as amended, and Regulation D thereunder, and were not registered under the Securities Act of 1933.</w:t>
      </w:r>
    </w:p>
    <w:p>
      <w:pPr>
        <w:spacing w:after="0" w:line="172" w:lineRule="exact"/>
        <w:rPr>
          <w:sz w:val="20"/>
          <w:szCs w:val="20"/>
          <w:color w:val="auto"/>
        </w:rPr>
      </w:pPr>
    </w:p>
    <w:p>
      <w:pPr>
        <w:jc w:val="both"/>
        <w:ind w:left="98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Election of 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In connection with the PIPE Transactions, the size of the Board was increased from six (6) directors to eight (8) directors. The Board appointed Keith Rabois to be a Class I director of the Company, effective immediately, for a term expiring at the 2027 annual meeting of stockholders, or until his earlier death, resignation or removal, and the Board appointed Eric Wu to be a Class III director of the Company, effective immediately, for a term expiring at the 2026 annual meeting of stockholders, or until his earlier death, resignation or removal.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Keith Rabois was appointed as Chairman of the Board. Eric Feder will continue to serve as Lead Independent Director of the Board. Keith Rabois was also appointed as a member of the Audit and Risk Committee of the Board and the Compensation Committee of the Board. In connection with these appointments, the Board determined that Keith Rabois is an independent director, within the meaning of the rules of the Nasdaq Stock Market LLC and the rules under Section 16 of the Securities Exchange Act of 1934, as amended, and satisfies the requirements for audit committee and compensation committee membership. Messrs. Rabois and Wu will be compensated for their service as directors on the same basis as other non-employee directors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Other than with respect to the matters referenced under Item 3.02 of this Current Report on Form 8-K, there are no arrangements or understandings between Keith Rabois or Eric Wu and any other person pursuant to which each was selected as a director, and there are no related person transactions within the meaning of Item 404(a) of Regulation S-K promulgated by the Securities and Exchange Commission between the Company and Keith Rabois or Eric Wu required to be disclosed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Keith Rabois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Keith Rabois is a Managing Director at Khosla Ventures, where he invests across sectors and stages leveraging his experience as a world-class founder, operator, and investor.</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Keith has helped build some of the largest, globally-recognized technology companies in his more than 20-year career. At Khosla Ventures, he led the first institutional investments in DoorDash, Affirm, and Faire, invested early in Stripe, and co-founded Opendoor. While a General Partner at Founders Fund, he led investments in Ramp, Trade Republic, and Aven, and before that made early personal investments in YouTube, Airbnb, and Palantir. Keith is consistently recognized on the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Midas list, ranking as high as #4 in the U.S. and #8 globally.</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He has served on multiple boards, including Reddit's from 2012 to 2019, and on Yelp and Xoom's boards, guiding them from their early stages through IPOs. Keith currently serves on the boards of Ramp and Faire, among others.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He started his technology career with leadership roles at PayPal, as their EVP of Business Development, Public Affairs &amp; Policy, before joining LinkedIn as VP of Business &amp; Corporate Development, and finally, Block (formerly known as Square), as Chief Operating Officer.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Keith served as a litigator at Sullivan &amp; Cromwell following his clerkship for the United States Court of Appeals for the Fifth Circuit. He holds a bachelor's degree in political science from Stanford University and earned a juris doctor degree with honors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Eric Wu</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Eric Wu is the founder and former CEO of Opendoor, where he served as Chief Executive from 2013 to 2022 and as Chairman of the Board from 2020 to 2022.</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He is an active angel investor and advisor to leading technology companies including Harvey, Airtable, Ramp, Faire, and Mercury. Eric has been recognized as EY's Entrepreneur of the Year, included on Fortune's 40 Under 40, named one of Business Insider's Best Early Stage Investors, and in 2022 became the third-youngest Fortune 500 CEO.</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Earlier in his career, Eric founded Movity.com, a Y Combinator -backed startup acquired by Trulia in 2011, and prior to that launched a real estate investment trust focused on student housing.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Appointment of Chief Executive Officer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On September 10, 2025, the Company appointed Kaz Nejatian as the new Chief Executive Officer of the Company and as a Class II director, effective as soon as reasonably practicable and in any event prior to October 7, 2025, for a term expiring at the 2028 annual meeting of stockholders, or until his earlier death, resignation or removal. As of Kaz Nejatian’s appointment as Chief Executive Officer, Shrisha Radhakrishna will no longer serve as </w:t>
      </w:r>
      <w:r>
        <w:rPr>
          <w:rFonts w:ascii="Times New Roman" w:cs="Times New Roman" w:eastAsia="Times New Roman" w:hAnsi="Times New Roman"/>
          <w:sz w:val="18"/>
          <w:szCs w:val="18"/>
          <w:color w:val="000000"/>
        </w:rPr>
        <w:t>interim principal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executive officer </w:t>
      </w:r>
      <w:r>
        <w:rPr>
          <w:rFonts w:ascii="Times New Roman" w:cs="Times New Roman" w:eastAsia="Times New Roman" w:hAnsi="Times New Roman"/>
          <w:sz w:val="18"/>
          <w:szCs w:val="18"/>
          <w:color w:val="212529"/>
        </w:rPr>
        <w:t>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There are no arrangements or understandings between Kaz Nejatian and any other person pursuant to which his appointment was made, and there are no related person transactions within the meaning of Item 404(a) of Regulation S-K promulgated by the Securities and Exchange Commission between the Company and Kaz Nejatian required to be disclosed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In connection with Kaz Nejatian’s appointment as the new Chief Executive Officer of the Company, the Company and its wholly owned subsidiary, Opendoor Labs Inc., entered into an offer letter with Kaz Nejatian on September 10, 2025 (the “</w:t>
      </w:r>
      <w:r>
        <w:rPr>
          <w:rFonts w:ascii="Times New Roman" w:cs="Times New Roman" w:eastAsia="Times New Roman" w:hAnsi="Times New Roman"/>
          <w:sz w:val="18"/>
          <w:szCs w:val="18"/>
          <w:u w:val="single" w:color="auto"/>
          <w:color w:val="212529"/>
        </w:rPr>
        <w:t>Offer Letter</w:t>
      </w:r>
      <w:r>
        <w:rPr>
          <w:rFonts w:ascii="Times New Roman" w:cs="Times New Roman" w:eastAsia="Times New Roman" w:hAnsi="Times New Roman"/>
          <w:sz w:val="18"/>
          <w:szCs w:val="18"/>
          <w:color w:val="212529"/>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212529"/>
        </w:rPr>
        <w:t>Position; Reporting</w:t>
      </w:r>
      <w:r>
        <w:rPr>
          <w:rFonts w:ascii="Times New Roman" w:cs="Times New Roman" w:eastAsia="Times New Roman" w:hAnsi="Times New Roman"/>
          <w:sz w:val="18"/>
          <w:szCs w:val="18"/>
          <w:color w:val="212529"/>
        </w:rPr>
        <w:t>. Under the Offer Letter, Kaz Nejatian will serve as the Chief Executive Officer of the Company and Opendoor Labs, Inc. effective as soon as reasonably practicable following the date of the Offer Letter and in any event no later than October 7, 2025. Kaz Nejatian will also be appointed to serve as a member of the Board of Directors of the Company as of his employment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212529"/>
        </w:rPr>
        <w:t>Cash Compensation</w:t>
      </w:r>
      <w:r>
        <w:rPr>
          <w:rFonts w:ascii="Times New Roman" w:cs="Times New Roman" w:eastAsia="Times New Roman" w:hAnsi="Times New Roman"/>
          <w:sz w:val="18"/>
          <w:szCs w:val="18"/>
          <w:color w:val="212529"/>
        </w:rPr>
        <w:t>. The Offer Letter provides that Kaz Nejatian’s annual base salary will be $1. Kaz Nejatian shall not be eligible to receive an annual bonus.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212529"/>
        </w:rPr>
        <w:t>Inducement Equity Awards</w:t>
      </w:r>
      <w:r>
        <w:rPr>
          <w:rFonts w:ascii="Times New Roman" w:cs="Times New Roman" w:eastAsia="Times New Roman" w:hAnsi="Times New Roman"/>
          <w:sz w:val="18"/>
          <w:szCs w:val="18"/>
          <w:color w:val="212529"/>
        </w:rPr>
        <w:t>. On his employment start date, Kaz Nejatian will receive two performance-based inducement equity awards in respect of a total 81,772,688 shares of Company common stock. These inducement equity awards will be granted solely in the form of performance-based restricted stock units, and each award will correspond to 40,886,344 shares of Company common stock. The awards, together with the restricted stock unit Make-Whole Award described below, are intended to serve as Kaz Nejatian’s exclusive for his initial five years of employment with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first performance-based inducement equity award (the “</w:t>
      </w:r>
      <w:r>
        <w:rPr>
          <w:rFonts w:ascii="Times New Roman" w:cs="Times New Roman" w:eastAsia="Times New Roman" w:hAnsi="Times New Roman"/>
          <w:sz w:val="18"/>
          <w:szCs w:val="18"/>
          <w:u w:val="single" w:color="auto"/>
          <w:color w:val="212529"/>
        </w:rPr>
        <w:t>First Award</w:t>
      </w:r>
      <w:r>
        <w:rPr>
          <w:rFonts w:ascii="Times New Roman" w:cs="Times New Roman" w:eastAsia="Times New Roman" w:hAnsi="Times New Roman"/>
          <w:sz w:val="18"/>
          <w:szCs w:val="18"/>
          <w:color w:val="212529"/>
        </w:rPr>
        <w:t>”) will be eligible to vest in installments over a period of five (5) years from the date of grant, with twenty percent (20%) of the award vesting on the first anniversary of the grant date and the remainder of the award vesting in quarterly installments thereafter, subject to Kaz Nejatian’s continued employment through each applicable vesting date and the achievement of an average closing stock price that equals or exceeds $6.24 over the sixty (60) trading day period preceding the applicable vesting date (the “</w:t>
      </w:r>
      <w:r>
        <w:rPr>
          <w:rFonts w:ascii="Times New Roman" w:cs="Times New Roman" w:eastAsia="Times New Roman" w:hAnsi="Times New Roman"/>
          <w:sz w:val="18"/>
          <w:szCs w:val="18"/>
          <w:u w:val="single" w:color="auto"/>
          <w:color w:val="212529"/>
        </w:rPr>
        <w:t>Stock Price Gate</w:t>
      </w:r>
      <w:r>
        <w:rPr>
          <w:rFonts w:ascii="Times New Roman" w:cs="Times New Roman" w:eastAsia="Times New Roman" w:hAnsi="Times New Roman"/>
          <w:sz w:val="18"/>
          <w:szCs w:val="18"/>
          <w:color w:val="212529"/>
        </w:rPr>
        <w:t>”) or any of the four immediately following vesting dates. The First Award includes certain termination-related vesting provisions generally providing for, in the event of an involuntary termination of employment without cause, for good reason, or due to Kaz Nejatian’s death or disability (a “</w:t>
      </w:r>
      <w:r>
        <w:rPr>
          <w:rFonts w:ascii="Times New Roman" w:cs="Times New Roman" w:eastAsia="Times New Roman" w:hAnsi="Times New Roman"/>
          <w:sz w:val="18"/>
          <w:szCs w:val="18"/>
          <w:u w:val="single" w:color="auto"/>
          <w:color w:val="212529"/>
        </w:rPr>
        <w:t>Qualifying Termination</w:t>
      </w:r>
      <w:r>
        <w:rPr>
          <w:rFonts w:ascii="Times New Roman" w:cs="Times New Roman" w:eastAsia="Times New Roman" w:hAnsi="Times New Roman"/>
          <w:sz w:val="18"/>
          <w:szCs w:val="18"/>
          <w:color w:val="212529"/>
        </w:rPr>
        <w:t>”), accelerated vesting of up to one-tenth (1/10th) of the First Award. The First Award is also subject to certain double trigger vesting provisions that apply in connection with a change in control where the change in control price exceeds specified thresholds starting at $25 per share.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The second performance-based inducement equity award (the “</w:t>
      </w:r>
      <w:r>
        <w:rPr>
          <w:rFonts w:ascii="Times New Roman" w:cs="Times New Roman" w:eastAsia="Times New Roman" w:hAnsi="Times New Roman"/>
          <w:sz w:val="18"/>
          <w:szCs w:val="18"/>
          <w:u w:val="single" w:color="auto"/>
          <w:color w:val="212529"/>
        </w:rPr>
        <w:t>Second Award</w:t>
      </w:r>
      <w:r>
        <w:rPr>
          <w:rFonts w:ascii="Times New Roman" w:cs="Times New Roman" w:eastAsia="Times New Roman" w:hAnsi="Times New Roman"/>
          <w:sz w:val="18"/>
          <w:szCs w:val="18"/>
          <w:color w:val="212529"/>
        </w:rPr>
        <w:t>”) has a five (5)-year performance period and is divided into seven (7) equal tranches, with each tranche subject to a performance-based vesting condition that requires achievement of an average closing price stock price hurdle (equal to $9, $13, $17, $21, $25, $29 and $33) over a sixty (60) trading day period commencing after the first anniversary of the grant date and ending prior to the end of the performance period. In addition, each tranche is subject to a time-based vesting condition: the first tranche of the Second Award will satisfy the time-based vesting condition on the first anniversary of the date of grant, the second and third tranches of the Second Award will vest quarterly over the second and third years following the date of grant, respectively, the fourth and fifth tranches of the Second Award will vest quarterly over the fourth year following the date of grant, and the sixth and seventh tranches of the Second Award will vest quarterly over the fifth year following the date of grant. Upon a termination due to Kaz Nejatian’s death or disability, each earned but unvested tranche will immediately vest, and upon a Qualifying Termination, Kaz Nejatian will be treated as if he had remained employed for an additional 60 trading days for purposes of the achievement of any time-based vesting condition and the performance-based vesting condition applicable to the tranche with the lowest stock price hurdle that remains unvested as of Kaz Nejatian’s termination date. The Second Award is also subject to certain double trigger vesting provisions that apply in connection with a change in control where the change in control price exceeds specified thresholds starting at $25 per share.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212529"/>
        </w:rPr>
        <w:t>Make-Whole Compensation</w:t>
      </w:r>
      <w:r>
        <w:rPr>
          <w:rFonts w:ascii="Times New Roman" w:cs="Times New Roman" w:eastAsia="Times New Roman" w:hAnsi="Times New Roman"/>
          <w:sz w:val="18"/>
          <w:szCs w:val="18"/>
          <w:color w:val="212529"/>
        </w:rPr>
        <w:t>. Kaz Nejatian will also receive two make-whole awards in respect of compensation awarded by his former employer that he is forfeiting. The awards consist of a $15,000,000 cash make-whole award and a restricted stock unit make-whole award, granted as an inducement award, with a grant date value of $15,000,000 (together, the “</w:t>
      </w:r>
      <w:r>
        <w:rPr>
          <w:rFonts w:ascii="Times New Roman" w:cs="Times New Roman" w:eastAsia="Times New Roman" w:hAnsi="Times New Roman"/>
          <w:sz w:val="18"/>
          <w:szCs w:val="18"/>
          <w:u w:val="single" w:color="auto"/>
          <w:color w:val="212529"/>
        </w:rPr>
        <w:t>Make-Whole Awards</w:t>
      </w:r>
      <w:r>
        <w:rPr>
          <w:rFonts w:ascii="Times New Roman" w:cs="Times New Roman" w:eastAsia="Times New Roman" w:hAnsi="Times New Roman"/>
          <w:sz w:val="18"/>
          <w:szCs w:val="18"/>
          <w:color w:val="212529"/>
        </w:rPr>
        <w:t>”). The Make-Whole Awards will vest on the date that is nine (9) months after the date on which he commences his employment with the Company, subject to Kaz Nejatian’s continued employment as Chief Executive Officer of the Company through such vesting date. Notwithstanding the foregoing, each of the Make-Whole Awards will be subject to accelerated vesting upon Kaz Nejatian’s Qualifying Termination.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212529"/>
        </w:rPr>
        <w:t>Other Agreements</w:t>
      </w:r>
      <w:r>
        <w:rPr>
          <w:rFonts w:ascii="Times New Roman" w:cs="Times New Roman" w:eastAsia="Times New Roman" w:hAnsi="Times New Roman"/>
          <w:sz w:val="18"/>
          <w:szCs w:val="18"/>
          <w:color w:val="212529"/>
        </w:rPr>
        <w:t>. In connection with his employment with the Company, Kaz Nejatian has also executed the Company’s standard form of Confidential Information and Invention Assignment Agreement and standard form of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Kaz Nejatian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working as a lawyer earlier in his career, Kaz Nejatian became the founder and CEO of Kash, a payment technology company. Kash was one of the early players in giving small businesses access to mobile payments technology for brick-and-mortar stores, and was acquired in 2017 by one of the largest fintech companies in the U.S. Kaz then served in various product roles at Meta (formerly Facebook) and Shopify before becoming its Chief Operating Officer in 2022. He is a graduate of Queen's University School of Business and University of Toronto law school, and is a proud husband and father to four young children.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Resignation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On September 6, 2025, Glenn Solomon informed the Board of his decision to retire from his position as director on the Board and from all committees of the Board, effective immediately. Following Glenn Solomon’s resignation, Eric Feder was appointed as the new Chair of the Compensation Committee of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On September 10, 2025, in connection with the appointment of Kaz Nejatian as Chief Executive Officer and director, Pueo Keffer informed the Board of his decision to retire from this position as director on the Board and all committees of the Board, effective immediately. The Board approved the acceleration of the vesting of Pueo Keffer’s restricted stock unit (RSU) awards, granted to him pursuant to the Company’s non-employee director compensation policy, which were previously scheduled to vest on the earlier of (a) the date of the 2026 annual meeting of stockholders or (b) June 13, 2026. Following Pueo Keffer’s resignation, David Benson was appointed as the new Chair of the Audit and Risk Committee of the Board.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decisions by Messrs. Keffer and Solomon to resign from the Board were not the result of any disagreement with the Company on any matter regarding the Company’s operations, policies or practices. In connection with the resignations of Messrs. Keffer and Solomon, the size of the Board was set to be six (6) directors, until the appointment of Kaz Nejatian to the Board, at which point the Board will be seven (7) directors.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issued a press release announcing the PIPE Transactions, the election of its new directors, and the appointment of its new Chief Executive Officer. A copy of such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and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w:t>
      </w:r>
      <w:r>
        <w:rPr>
          <w:rFonts w:ascii="Times New Roman" w:cs="Times New Roman" w:eastAsia="Times New Roman" w:hAnsi="Times New Roman"/>
          <w:sz w:val="18"/>
          <w:szCs w:val="18"/>
          <w:color w:val="212529"/>
        </w:rPr>
        <w:t>Khosla Ventures Purchase Agreement, Khosla Ventures Opportunity III, LP agreed to certain customary standstill and non-disparagement provisions that remain in place until ninety (90) days after the date on which Keith Rabois has ceased to serve as a director of the Company, as well as certain voting commitments that remain in place for so long as Khosla Ventures Opportunity III, LP and its affiliates are the record or beneficial owners of any of the shares of Common Stock purchased pursuant to the PIPE Transactions.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In connection with the Eric Wu Purchase Agreement, Eric Wu agreed to certain customary standstill and non-disparagement provisions that remain in place until ninety (90) days after the date on which Eric Wu has ceased to serve as a director of the Company, as well as certain voting commitments that remain in place for so long as Eric Wu and his affiliates are the record or beneficial owners of any of the shares of Common Stock purchased pursuant to the PIPE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Purchase Agreements also contain transfer restrictions that remain in place until the first (1st) anniversary of the closing date.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212529"/>
        </w:rPr>
        <w:t>Item 9.01</w:t>
      </w:r>
      <w:r>
        <w:rPr>
          <w:sz w:val="20"/>
          <w:szCs w:val="20"/>
          <w:color w:val="auto"/>
        </w:rPr>
        <w:tab/>
      </w:r>
      <w:r>
        <w:rPr>
          <w:rFonts w:ascii="Times New Roman" w:cs="Times New Roman" w:eastAsia="Times New Roman" w:hAnsi="Times New Roman"/>
          <w:sz w:val="17"/>
          <w:szCs w:val="17"/>
          <w:b w:val="1"/>
          <w:bCs w:val="1"/>
          <w:color w:val="212529"/>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940" w:type="dxa"/>
            <w:vAlign w:val="bottom"/>
          </w:tcPr>
          <w:p>
            <w:pPr>
              <w:spacing w:after="0"/>
              <w:rPr>
                <w:sz w:val="20"/>
                <w:szCs w:val="20"/>
                <w:color w:val="auto"/>
              </w:rPr>
            </w:pPr>
          </w:p>
        </w:tc>
      </w:tr>
      <w:tr>
        <w:trPr>
          <w:trHeight w:val="391"/>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24"/>
                <w:szCs w:val="24"/>
                <w:color w:val="auto"/>
              </w:rPr>
            </w:pP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Press Release, dated September 10, 2025</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11, 2025</w:t>
      </w:r>
      <w:r>
        <w:rPr>
          <w:sz w:val="20"/>
          <w:szCs w:val="20"/>
          <w:color w:val="auto"/>
        </w:rPr>
        <w:tab/>
      </w:r>
      <w:r>
        <w:rPr>
          <w:rFonts w:ascii="Times New Roman" w:cs="Times New Roman" w:eastAsia="Times New Roman" w:hAnsi="Times New Roman"/>
          <w:sz w:val="18"/>
          <w:szCs w:val="18"/>
          <w:color w:val="auto"/>
        </w:rPr>
        <w:t>By: /s/ Selim Freiha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Selim Freiha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Opendoor Names Kaz Nejatian as CEO; Founders Rabois and Wu Rejoin Board</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Nejatian, Chief Operating Officer of Shopify, to Lead Company’s Next Chapter as AI-Powered Real Estate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Keith Rabois and Eric Wu Bring Back Founder DNA to Company with Rabois Appointed Chairman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Khosla Ventures and Wu Investing $40 Million in PIPE Financing</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SAN FRANCISCO, Sept. 10, 2025 (GLOBE NEWSWIRE) -- Opendoor Technologies Inc. (Nasdaq: OPEN) today announced that Kaz Nejatian, Chief Operating Officer of Shopify, has been appointed Chief Executive Officer and member of the Board of Directors. Co-Founders Keith Rabois and Eric Wu are returning to the Board of Directors, with Rabois taking on the role of Chairman.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Right Leader for the AI Era</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Nejatian, a lawyer-turned entrepreneur and product leader, is an AI-native executive with a track record of transforming products, teams, and companies at scale. He joins Opendoor after serving as Chief Operating Officer and Vice President of Product at Shopify, where since 2019 he helped build the teams and the products at one of the world’s most important commerce platforms. He is an exceptional operator, known for driving significant operating leverage while increasing speed of execution. He is a leader in the craft of product management and has helped build products used by hundreds of millions of people every day.</w:t>
      </w:r>
    </w:p>
    <w:p>
      <w:pPr>
        <w:spacing w:after="0" w:line="18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“Literally there was only one choice for the job: Kaz. I am thrilled that he will be serving as CEO of Opendoor,” said Rabois, Chairman. “He is a decisive leader who has driven product innovation at scale, ruthlessly reduced G&amp;A expenses to drive profitability and deeply understands the potential for AI to radically reshape a company’s entire operations. He is a proven executive with a founder’s brain. He is the right leader to unlock Opendoor’s unique data and assets as we build on Opendoor’s original mission, now enhanced as an AI-first company. The future of home buying and selling is now in the chat.”</w:t>
      </w:r>
    </w:p>
    <w:p>
      <w:pPr>
        <w:spacing w:after="0" w:line="16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“It’s a privilege to become Opendoor’s leader,” said Nejatian. “Few life events are as important as buying or selling a home. With AI, we have the tools to make that experience radically simpler, faster, and more certain. That’s the future we’re building.”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Opendoor Going Into Founder Mode with Nejatian as CEO and Rabois and Wu Board Appointments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also announced the appointments of Opendoor co-founders Keith Rabois, Managing Director at Khosla Ventures, and Eric Wu, co-founder NavigateAI, to the Board of Directors, effective immediately. Rabois will assume the role of Chairman, and Eric Feder will continue in his role as Lead Independent Director.</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“Rabois and Wu, who co-founded Opendoor in 2013, will inject the “founder DNA” and energy at a pivotal moment for Opendoor. They are passionate about our community and we’re excited to welcome them back to the Board,” stated Feder.</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“Opendoor’s mission is more relevant than ever,” added Wu. “Homeowners deserve a better system, and with Kaz’s vision, mentality and creativity, I’m confident he can lead Opendoor’s next chapter and build a category-defining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Along with Mr. Rabois’ and Mr. Wu’s appointments to the Board, Pueo Keffer and Glenn Solomon have stepped down from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 continued, “We are grateful to Pueo and Glenn for their many contributions to the company and their dedication to Opendoor and our shareholders.”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Khosla Ventures and Eric Wu Invest $40 million in Opendoor Equity to Accelerate Growth</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Opendoor has entered into securities purchase agreements with Khosla Ventures and Mr. Wu to invest $40 million of equity capital through a private investment in the Company. The Company intends to use the proceeds to fund continued investment in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Wachtell, Lipton, Rosen &amp; Katz served as legal advisor to Opendoor and Goldman Sachs acted as the Company’s financial advisor.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Kaz Nejatian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working as a lawyer earlier in his career, Kaz Nejatian became the founder and CEO of Kash, a payment technology company. Kash was one of the early players in giving small businesses access to mobile payments technology for brick-and-mortar stores, and was acquired in 2017 by one of the largest fintech companies in the U.S. Kaz then served in various product roles at Meta (formerly Facebook) and Shopify before becoming its Chief Operating Officer in 2022. He is a graduate of Queen’s University School of Business and University of Toronto law school, and is a proud husband and father to four young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Keith Rabois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Keith Rabois is a Managing Director at Khosla Ventures, where he invests across sectors and stages leveraging his experience as a world-class founder, operator, and investor.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Keith has helped build some of the largest, globally-recognized technology companies in his more than 20-year career. At Khosla Ventures, he led the first institutional investments in DoorDash, Affirm, and Faire, invested early in Stripe, and co-founded Opendoor. While a General Partner at Founders Fund, he led investments in Ramp, Trade Republic, and Aven, and before that made early personal investments in YouTube, Airbnb, and Palantir. Keith is consistently recognized on the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Midas list, ranking as high as #4 in the U.S. and #8 globally.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He has served on multiple boards, including Reddit’s from 2012 to 2019, and on Yelp and Xoom’s boards, guiding them from their early stages through IPOs. Keith currently serves on the boards of Ramp and Faire, among others.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He started his technology career with leadership roles at PayPal, as their EVP of Business Development, Public Affairs &amp; Policy, before joining LinkedIn as VP of Business &amp; Corporate Development, and finally, Block (formerly known as Square), as Chief Operating Officer.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Keith served as a litigator at Sullivan &amp; Cromwell following his clerkship for the United States Court of Appeals for the Fifth Circuit. He holds a bachelor's degree in political science from Stanford University and earned a juris doctor degree with honors from Harvard University.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Wu</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Eric Wu is the founder and former CEO of Opendoor, where he served as Chief Executive from 2013 to 2022 and as Chairman of the Board from 2020 to 2022.</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He is an active angel investor and advisor to leading technology companies including Harvey, Airtable, Ramp, Faire, and Mercury. Eric has been recognized as EY’s Entrepreneur of the Year, included on Fortune’s 40 Under 40, named one of Business Insider’s Best Early Stage Investors, and in 2022 became the third-youngest Fortune 500 CEO.</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Earlier in his career, Eric founded Movity.com, a Y Combinator–backed startup acquired by Trulia in 2011, and prior to that launched a real estate investment trust focused on student housing.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Opendoor</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Opendoor is a leading e-commerce platform for residential real estate transactions whose mission is to power life’s progress, one move at a time. Since 2014, Opendoor has provided people across the U.S. with a simple and certain way to sell and buy a home. Opendoor is a team of problem solvers, innovators, and operators who are leading the future of real estate. Opendoor currently operates in markets nationwide. For more information, please visit www.opendoor.com.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Section 27A the Private Securities Litigation Reform Act of 1995, as amended. All statements contained in this press release that do not relate to matters of historical fact should be considered forward-looking, including statements regarding our CEO search, our new and enhanced product offerings, our business strategy and our ability to create long-term value for sellers, agents and shareholders.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press release include but are not limited to: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impact demand for our products and services, lower our profitability or reduce our access to future financings; actual or anticipated fluctuations in our financial condition and results of operations; changes in projected operational and financial results; our real estate assets and increased competition in the U.S. residential real estate industry; our ability to operate and grow our core business products, including the ability to obtain sufficient financing and resell purchased homes; investment of resources to pursue strategies and develop new products and services that may not prove effective or that are not attractive to customers and/or partners or that do not allow us to compete successfully; our ability to acquire and resell homes profitably; our ability to grow market share in our existing markets or any new markets we may enter; our ability to manage our growth effectively; our ability to expeditiously sell and appropriately price our inventory; our ability to access sources of capital, including debt financing and securitization funding to finance our real estate inventories and other sources of capital to finance operations and growth; our ability to maintain and enhance our products and brand, and to attract customers; our ability to manage, develop and refine our digital platform, including our automated pricing and valuation technology; our ability to realize expected benefits from our restructuring and cost reduction efforts; our ability to comply with multiple listing service rules and requirements to access and use listing data, and to maintain or establish relationships with listings and data providers; our ability to obtain or maintain licenses and permits to support our current and future business operations; acquisitions, strategic partnerships, joint ventures, capital-raising activities or other corporate transactions or commitments by us or our competitors; actual or anticipated changes in technology, products, markets or services by us or our competitors; our ability to protect our brand and intellectual property; our success in retaining or recruiting, or changes required in, our officers, key employees and/or directors, including our Chief Executive Officer role; the impact of the regulatory environment and potential regulatory instability within our industry and complexities with compliance related to such environment; any future impact of pandemics, epidemics, or other public health crises on our ability to operate, demand for our products and services, or general economic conditions; our ability to maintain our listing on the Nasdaq Global Select Market; changes in laws or government regulation affecting our business; the impact of pending or future litigation or regulatory actions; and the volatility in the price of our common stock. The foregoing list of factors is not exhaustive. You should carefully consider the foregoing factors and the other risks and uncertainties described under the caption “Risk Factors” in our most recent Annual Report on Form 10-K filed with the Securities and Exchange Commission (the “SEC”) on February 27, 2025, as updated by our Quarterly Report on Form 10-Q for the quarter ended June 30, 2025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update or revise these forward-looking statements, whether as a result of new information, future events, or otherwise. We do not give any assurance that we will achieve our expectations.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investors@opendoor.com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press@opendoor.com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2025-09-11T05:40:37Z</dcterms:created>
  <dcterms:modified xsi:type="dcterms:W3CDTF">2025-09-11T05:40:37Z</dcterms:modified>
</cp:coreProperties>
</file>