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14, 2021</w:t>
      </w:r>
    </w:p>
    <w:p>
      <w:pPr>
        <w:spacing w:after="0" w:line="1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333-251529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71120</wp:posOffset>
            </wp:positionV>
            <wp:extent cx="618934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139700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1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ectPr>
          <w:pgSz w:w="11900" w:h="16838" w:orient="portrait"/>
          <w:cols w:equalWidth="0" w:num="1">
            <w:col w:w="9740"/>
          </w:cols>
          <w:pgMar w:left="1080" w:top="860" w:right="10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both"/>
        <w:ind w:left="640" w:firstLine="11"/>
        <w:spacing w:after="0" w:line="298" w:lineRule="auto"/>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5"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90" w:lineRule="exact"/>
        <w:rPr>
          <w:sz w:val="24"/>
          <w:szCs w:val="24"/>
          <w:color w:val="auto"/>
        </w:rPr>
      </w:pPr>
    </w:p>
    <w:p>
      <w:pPr>
        <w:jc w:val="center"/>
        <w:ind w:right="30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31" w:lineRule="exact"/>
        <w:rPr>
          <w:sz w:val="24"/>
          <w:szCs w:val="24"/>
          <w:color w:val="auto"/>
        </w:rPr>
      </w:pPr>
    </w:p>
    <w:p>
      <w:pPr>
        <w:jc w:val="center"/>
        <w:ind w:right="3020"/>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12" w:lineRule="exact"/>
        <w:rPr>
          <w:sz w:val="24"/>
          <w:szCs w:val="24"/>
          <w:color w:val="auto"/>
        </w:rPr>
      </w:pPr>
    </w:p>
    <w:p>
      <w:pPr>
        <w:jc w:val="center"/>
        <w:ind w:right="306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ind w:right="306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302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553720</wp:posOffset>
            </wp:positionH>
            <wp:positionV relativeFrom="paragraph">
              <wp:posOffset>125730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3020"/>
        <w:spacing w:after="0"/>
        <w:rPr>
          <w:sz w:val="20"/>
          <w:szCs w:val="20"/>
          <w:color w:val="auto"/>
        </w:rPr>
      </w:pPr>
      <w:r>
        <w:rPr>
          <w:rFonts w:ascii="Times New Roman" w:cs="Times New Roman" w:eastAsia="Times New Roman" w:hAnsi="Times New Roman"/>
          <w:sz w:val="30"/>
          <w:szCs w:val="30"/>
          <w:b w:val="1"/>
          <w:bCs w:val="1"/>
          <w:color w:val="auto"/>
        </w:rPr>
        <w:t>Opendoor Technologies Inc.</w:t>
      </w:r>
    </w:p>
    <w:p>
      <w:pPr>
        <w:spacing w:after="0" w:line="84"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553720</wp:posOffset>
            </wp:positionH>
            <wp:positionV relativeFrom="paragraph">
              <wp:posOffset>144145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0" w:lineRule="exact"/>
        <w:rPr>
          <w:sz w:val="24"/>
          <w:szCs w:val="24"/>
          <w:color w:val="auto"/>
        </w:rPr>
      </w:pPr>
    </w:p>
    <w:tbl>
      <w:tblPr>
        <w:tblLayout w:type="fixed"/>
        <w:tblInd w:w="960" w:type="dxa"/>
        <w:tblCellMar>
          <w:top w:w="0" w:type="dxa"/>
          <w:left w:w="0" w:type="dxa"/>
          <w:bottom w:w="0" w:type="dxa"/>
          <w:right w:w="0" w:type="dxa"/>
        </w:tblCellMar>
      </w:tblPr>
      <w:tr>
        <w:trPr>
          <w:trHeight w:val="216"/>
        </w:trPr>
        <w:tc>
          <w:tcPr>
            <w:tcW w:w="2620" w:type="dxa"/>
            <w:vAlign w:val="bottom"/>
          </w:tcPr>
          <w:p>
            <w:pPr>
              <w:jc w:val="center"/>
              <w:ind w:right="782"/>
              <w:spacing w:after="0"/>
              <w:rPr>
                <w:sz w:val="20"/>
                <w:szCs w:val="20"/>
                <w:color w:val="auto"/>
              </w:rPr>
            </w:pPr>
            <w:r>
              <w:rPr>
                <w:rFonts w:ascii="Times New Roman" w:cs="Times New Roman" w:eastAsia="Times New Roman" w:hAnsi="Times New Roman"/>
                <w:sz w:val="18"/>
                <w:szCs w:val="18"/>
                <w:b w:val="1"/>
                <w:bCs w:val="1"/>
                <w:color w:val="auto"/>
                <w:w w:val="99"/>
              </w:rPr>
              <w:t>7372</w:t>
            </w:r>
          </w:p>
        </w:tc>
        <w:tc>
          <w:tcPr>
            <w:tcW w:w="2260" w:type="dxa"/>
            <w:vAlign w:val="bottom"/>
          </w:tcPr>
          <w:p>
            <w:pPr>
              <w:jc w:val="center"/>
              <w:ind w:left="762"/>
              <w:spacing w:after="0"/>
              <w:rPr>
                <w:sz w:val="20"/>
                <w:szCs w:val="20"/>
                <w:color w:val="auto"/>
              </w:rPr>
            </w:pPr>
            <w:r>
              <w:rPr>
                <w:rFonts w:ascii="Times New Roman" w:cs="Times New Roman" w:eastAsia="Times New Roman" w:hAnsi="Times New Roman"/>
                <w:sz w:val="18"/>
                <w:szCs w:val="18"/>
                <w:b w:val="1"/>
                <w:bCs w:val="1"/>
                <w:color w:val="auto"/>
                <w:w w:val="94"/>
              </w:rPr>
              <w:t>98-1515020</w:t>
            </w:r>
          </w:p>
        </w:tc>
      </w:tr>
      <w:tr>
        <w:trPr>
          <w:trHeight w:val="171"/>
        </w:trPr>
        <w:tc>
          <w:tcPr>
            <w:tcW w:w="2620" w:type="dxa"/>
            <w:vAlign w:val="bottom"/>
          </w:tcPr>
          <w:p>
            <w:pPr>
              <w:jc w:val="center"/>
              <w:ind w:right="822"/>
              <w:spacing w:after="0"/>
              <w:rPr>
                <w:sz w:val="20"/>
                <w:szCs w:val="20"/>
                <w:color w:val="auto"/>
              </w:rPr>
            </w:pPr>
            <w:r>
              <w:rPr>
                <w:rFonts w:ascii="Times New Roman" w:cs="Times New Roman" w:eastAsia="Times New Roman" w:hAnsi="Times New Roman"/>
                <w:sz w:val="14"/>
                <w:szCs w:val="14"/>
                <w:color w:val="auto"/>
              </w:rPr>
              <w:t>(Primary Standard Industrial</w:t>
            </w:r>
          </w:p>
        </w:tc>
        <w:tc>
          <w:tcPr>
            <w:tcW w:w="2260" w:type="dxa"/>
            <w:vAlign w:val="bottom"/>
          </w:tcPr>
          <w:p>
            <w:pPr>
              <w:jc w:val="center"/>
              <w:ind w:left="762"/>
              <w:spacing w:after="0"/>
              <w:rPr>
                <w:sz w:val="20"/>
                <w:szCs w:val="20"/>
                <w:color w:val="auto"/>
              </w:rPr>
            </w:pPr>
            <w:r>
              <w:rPr>
                <w:rFonts w:ascii="Times New Roman" w:cs="Times New Roman" w:eastAsia="Times New Roman" w:hAnsi="Times New Roman"/>
                <w:sz w:val="14"/>
                <w:szCs w:val="14"/>
                <w:color w:val="auto"/>
              </w:rPr>
              <w:t>(I.R.S. Employer</w:t>
            </w:r>
          </w:p>
        </w:tc>
      </w:tr>
      <w:tr>
        <w:trPr>
          <w:trHeight w:val="193"/>
        </w:trPr>
        <w:tc>
          <w:tcPr>
            <w:tcW w:w="2620" w:type="dxa"/>
            <w:vAlign w:val="bottom"/>
          </w:tcPr>
          <w:p>
            <w:pPr>
              <w:jc w:val="center"/>
              <w:ind w:right="782"/>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2260" w:type="dxa"/>
            <w:vAlign w:val="bottom"/>
          </w:tcPr>
          <w:p>
            <w:pPr>
              <w:jc w:val="center"/>
              <w:ind w:left="802"/>
              <w:spacing w:after="0"/>
              <w:rPr>
                <w:sz w:val="20"/>
                <w:szCs w:val="20"/>
                <w:color w:val="auto"/>
              </w:rPr>
            </w:pPr>
            <w:r>
              <w:rPr>
                <w:rFonts w:ascii="Times New Roman" w:cs="Times New Roman" w:eastAsia="Times New Roman" w:hAnsi="Times New Roman"/>
                <w:sz w:val="14"/>
                <w:szCs w:val="14"/>
                <w:color w:val="auto"/>
              </w:rPr>
              <w:t>Identification Number)</w:t>
            </w:r>
          </w:p>
        </w:tc>
      </w:tr>
    </w:tbl>
    <w:p>
      <w:pPr>
        <w:spacing w:after="0" w:line="136" w:lineRule="exact"/>
        <w:rPr>
          <w:sz w:val="24"/>
          <w:szCs w:val="24"/>
          <w:color w:val="auto"/>
        </w:rPr>
      </w:pPr>
    </w:p>
    <w:p>
      <w:pPr>
        <w:sectPr>
          <w:pgSz w:w="11900" w:h="16838" w:orient="portrait"/>
          <w:cols w:equalWidth="0" w:num="2">
            <w:col w:w="2460" w:space="560"/>
            <w:col w:w="6720"/>
          </w:cols>
          <w:pgMar w:left="1080" w:top="860" w:right="107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 Post Street, Floor 11</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San Francisco, California 94104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896-6737</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135255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Carrie Wheeler</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 Post Street, Floor 11</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San Francisco, California 94104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896-6737</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135255</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tbl>
      <w:tblPr>
        <w:tblLayout w:type="fixed"/>
        <w:tblInd w:w="134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45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69"/>
        </w:trPr>
        <w:tc>
          <w:tcPr>
            <w:tcW w:w="26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4"/>
              </w:rPr>
              <w:t>Rachel W. Sheridan, Esq.</w:t>
            </w:r>
          </w:p>
        </w:tc>
        <w:tc>
          <w:tcPr>
            <w:tcW w:w="456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5"/>
              </w:rPr>
              <w:t>Elizabeth Stevens</w:t>
            </w:r>
          </w:p>
        </w:tc>
      </w:tr>
      <w:tr>
        <w:trPr>
          <w:trHeight w:val="216"/>
        </w:trPr>
        <w:tc>
          <w:tcPr>
            <w:tcW w:w="26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6"/>
              </w:rPr>
              <w:t>Shagufa R. Hossain, Esq.</w:t>
            </w:r>
          </w:p>
        </w:tc>
        <w:tc>
          <w:tcPr>
            <w:tcW w:w="456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6"/>
              </w:rPr>
              <w:t>Head of Legal</w:t>
            </w:r>
          </w:p>
        </w:tc>
      </w:tr>
      <w:tr>
        <w:trPr>
          <w:trHeight w:val="216"/>
        </w:trPr>
        <w:tc>
          <w:tcPr>
            <w:tcW w:w="26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6"/>
              </w:rPr>
              <w:t>Latham &amp; Watkins LLP</w:t>
            </w:r>
          </w:p>
        </w:tc>
        <w:tc>
          <w:tcPr>
            <w:tcW w:w="456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5"/>
              </w:rPr>
              <w:t>Opendoor Technologies Inc.</w:t>
            </w:r>
          </w:p>
        </w:tc>
      </w:tr>
      <w:tr>
        <w:trPr>
          <w:trHeight w:val="216"/>
        </w:trPr>
        <w:tc>
          <w:tcPr>
            <w:tcW w:w="26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4"/>
              </w:rPr>
              <w:t>885 Third Avenue</w:t>
            </w:r>
          </w:p>
        </w:tc>
        <w:tc>
          <w:tcPr>
            <w:tcW w:w="456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3"/>
              </w:rPr>
              <w:t>1 Post Street, Floor 11</w:t>
            </w:r>
          </w:p>
        </w:tc>
      </w:tr>
      <w:tr>
        <w:trPr>
          <w:trHeight w:val="216"/>
        </w:trPr>
        <w:tc>
          <w:tcPr>
            <w:tcW w:w="26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3"/>
              </w:rPr>
              <w:t>New York, New York 10022</w:t>
            </w:r>
          </w:p>
        </w:tc>
        <w:tc>
          <w:tcPr>
            <w:tcW w:w="456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5"/>
              </w:rPr>
              <w:t>San Francisco, California 94104</w:t>
            </w:r>
          </w:p>
        </w:tc>
      </w:tr>
      <w:tr>
        <w:trPr>
          <w:trHeight w:val="238"/>
        </w:trPr>
        <w:tc>
          <w:tcPr>
            <w:tcW w:w="26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4"/>
              </w:rPr>
              <w:t>(212) 906-1200</w:t>
            </w:r>
          </w:p>
        </w:tc>
        <w:tc>
          <w:tcPr>
            <w:tcW w:w="45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5"/>
              </w:rPr>
              <w:t>(415) 896-6737</w:t>
            </w:r>
          </w:p>
        </w:tc>
      </w:tr>
    </w:tbl>
    <w:p>
      <w:pPr>
        <w:spacing w:after="0" w:line="140" w:lineRule="exact"/>
        <w:rPr>
          <w:sz w:val="24"/>
          <w:szCs w:val="24"/>
          <w:color w:val="auto"/>
        </w:rPr>
      </w:pPr>
    </w:p>
    <w:p>
      <w:pPr>
        <w:ind w:right="16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Approximate date of commencement of proposed sale of the securities to the public</w:t>
      </w:r>
      <w:r>
        <w:rPr>
          <w:rFonts w:ascii="Times New Roman" w:cs="Times New Roman" w:eastAsia="Times New Roman" w:hAnsi="Times New Roman"/>
          <w:sz w:val="18"/>
          <w:szCs w:val="18"/>
          <w:color w:val="auto"/>
        </w:rPr>
        <w:t>: From time to time after this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becomes effective.</w:t>
      </w:r>
    </w:p>
    <w:p>
      <w:pPr>
        <w:spacing w:after="0" w:line="78" w:lineRule="exact"/>
        <w:rPr>
          <w:sz w:val="24"/>
          <w:szCs w:val="24"/>
          <w:color w:val="auto"/>
        </w:rPr>
      </w:pPr>
    </w:p>
    <w:p>
      <w:pPr>
        <w:ind w:right="740" w:firstLine="36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(the “Securities Act”) check the following box: </w:t>
      </w:r>
      <w:r>
        <w:rPr>
          <w:rFonts w:ascii="MS PGothic" w:cs="MS PGothic" w:eastAsia="MS PGothic" w:hAnsi="MS PGothic"/>
          <w:sz w:val="18"/>
          <w:szCs w:val="18"/>
          <w:color w:val="auto"/>
        </w:rPr>
        <w:t>☒</w:t>
      </w:r>
    </w:p>
    <w:p>
      <w:pPr>
        <w:spacing w:after="0" w:line="111" w:lineRule="exact"/>
        <w:rPr>
          <w:sz w:val="24"/>
          <w:szCs w:val="24"/>
          <w:color w:val="auto"/>
        </w:rPr>
      </w:pPr>
    </w:p>
    <w:p>
      <w:pPr>
        <w:ind w:right="100" w:firstLine="360"/>
        <w:spacing w:after="0" w:line="22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11" w:lineRule="exact"/>
        <w:rPr>
          <w:sz w:val="24"/>
          <w:szCs w:val="24"/>
          <w:color w:val="auto"/>
        </w:rPr>
      </w:pPr>
    </w:p>
    <w:p>
      <w:pPr>
        <w:ind w:right="160" w:firstLine="36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-314325</wp:posOffset>
            </wp:positionH>
            <wp:positionV relativeFrom="paragraph">
              <wp:posOffset>236855</wp:posOffset>
            </wp:positionV>
            <wp:extent cx="6806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740"/>
          </w:cols>
          <w:pgMar w:left="1080" w:top="860" w:right="1079" w:bottom="1440" w:gutter="0" w:footer="0" w:header="0"/>
          <w:type w:val="continuous"/>
        </w:sectPr>
      </w:pPr>
    </w:p>
    <w:bookmarkStart w:id="1" w:name="page2"/>
    <w:bookmarkEnd w:id="1"/>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w:t>
      </w:r>
    </w:p>
    <w:p>
      <w:pPr>
        <w:spacing w:after="0" w:line="94"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3" w:lineRule="exact"/>
        <w:rPr>
          <w:sz w:val="20"/>
          <w:szCs w:val="20"/>
          <w:color w:val="auto"/>
        </w:rPr>
      </w:pPr>
    </w:p>
    <w:tbl>
      <w:tblPr>
        <w:tblLayout w:type="fixed"/>
        <w:tblInd w:w="360" w:type="dxa"/>
        <w:tblCellMar>
          <w:top w:w="0" w:type="dxa"/>
          <w:left w:w="0" w:type="dxa"/>
          <w:bottom w:w="0" w:type="dxa"/>
          <w:right w:w="0" w:type="dxa"/>
        </w:tblCellMar>
      </w:tblP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4" w:lineRule="exact"/>
        <w:rPr>
          <w:sz w:val="20"/>
          <w:szCs w:val="20"/>
          <w:color w:val="auto"/>
        </w:rPr>
      </w:pPr>
    </w:p>
    <w:p>
      <w:pPr>
        <w:jc w:val="both"/>
        <w:ind w:right="300" w:firstLine="3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107950</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7" w:lineRule="exact"/>
        <w:rPr>
          <w:sz w:val="20"/>
          <w:szCs w:val="20"/>
          <w:color w:val="auto"/>
        </w:rPr>
      </w:pPr>
    </w:p>
    <w:p>
      <w:pPr>
        <w:ind w:right="40"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61893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151765</wp:posOffset>
            </wp:positionV>
            <wp:extent cx="618934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5449570</wp:posOffset>
            </wp:positionV>
            <wp:extent cx="6806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620"/>
          </w:cols>
          <w:pgMar w:left="1080" w:top="756" w:right="11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48" w:lineRule="exact"/>
        <w:rPr>
          <w:sz w:val="20"/>
          <w:szCs w:val="20"/>
          <w:color w:val="auto"/>
        </w:rPr>
      </w:pPr>
    </w:p>
    <w:p>
      <w:pPr>
        <w:ind w:left="400" w:right="439" w:firstLine="360"/>
        <w:spacing w:after="0" w:line="256" w:lineRule="auto"/>
        <w:rPr>
          <w:sz w:val="20"/>
          <w:szCs w:val="20"/>
          <w:color w:val="auto"/>
        </w:rPr>
      </w:pPr>
      <w:r>
        <w:rPr>
          <w:rFonts w:ascii="Times New Roman" w:cs="Times New Roman" w:eastAsia="Times New Roman" w:hAnsi="Times New Roman"/>
          <w:sz w:val="18"/>
          <w:szCs w:val="18"/>
          <w:color w:val="auto"/>
        </w:rPr>
        <w:t>The sole purpose of this Amendment No. 3 (this “Amendment”) to the Registration Statement on Form S-1 (the “Registration Statement”) is to refile certain exhibits to the Registration Statement, as indicated in Item 16 of Part II of this Amendment. No change is made to the preliminary prospectus constituting Part I of the Registration Statement or Items 13, 14, 15 or 17 of Part II of the Registration Statement. Accordingly, this Amendment consists only of the facing page, this Explanatory Note, Item 16 of Part II and the signature page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7091680</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3" w:name="page4"/>
    <w:bookmarkEnd w:id="3"/>
    <w:p>
      <w:pPr>
        <w:ind w:left="2080"/>
        <w:spacing w:after="0"/>
        <w:rPr>
          <w:sz w:val="20"/>
          <w:szCs w:val="20"/>
          <w:color w:val="auto"/>
        </w:rPr>
      </w:pPr>
      <w:r>
        <w:rPr>
          <w:rFonts w:ascii="Times New Roman" w:cs="Times New Roman" w:eastAsia="Times New Roman" w:hAnsi="Times New Roman"/>
          <w:sz w:val="18"/>
          <w:szCs w:val="18"/>
          <w:b w:val="1"/>
          <w:bCs w:val="1"/>
          <w:color w:val="auto"/>
        </w:rPr>
        <w:t>PART II: INFORMATION NOT REQUIRED IN PROSPECTUS</w:t>
      </w:r>
    </w:p>
    <w:p>
      <w:pPr>
        <w:spacing w:after="0" w:line="198" w:lineRule="exact"/>
        <w:rPr>
          <w:sz w:val="20"/>
          <w:szCs w:val="20"/>
          <w:color w:val="auto"/>
        </w:rPr>
      </w:pPr>
    </w:p>
    <w:p>
      <w:pPr>
        <w:ind w:left="40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62" w:lineRule="exact"/>
        <w:rPr>
          <w:sz w:val="20"/>
          <w:szCs w:val="20"/>
          <w:color w:val="auto"/>
        </w:rPr>
      </w:pPr>
    </w:p>
    <w:p>
      <w:pPr>
        <w:jc w:val="both"/>
        <w:ind w:left="400" w:right="1099" w:firstLine="360"/>
        <w:spacing w:after="0" w:line="250" w:lineRule="auto"/>
        <w:rPr>
          <w:sz w:val="20"/>
          <w:szCs w:val="20"/>
          <w:color w:val="auto"/>
        </w:rPr>
      </w:pPr>
      <w:r>
        <w:rPr>
          <w:rFonts w:ascii="Times New Roman" w:cs="Times New Roman" w:eastAsia="Times New Roman" w:hAnsi="Times New Roman"/>
          <w:sz w:val="18"/>
          <w:szCs w:val="18"/>
          <w:color w:val="auto"/>
        </w:rPr>
        <w:t>The financial statements filed as part of this registration statement are listed in the index to the financial statements immediately preceding such financial statements, which index to the financial statements is incorporated herein by reference.</w:t>
      </w:r>
    </w:p>
    <w:p>
      <w:pPr>
        <w:spacing w:after="0" w:line="116"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700" w:type="dxa"/>
            <w:vAlign w:val="bottom"/>
            <w:gridSpan w:val="25"/>
          </w:tcPr>
          <w:p>
            <w:pPr>
              <w:ind w:left="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7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0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6"/>
                <w:szCs w:val="16"/>
                <w:color w:val="auto"/>
              </w:rPr>
              <w:t>2.1</w:t>
            </w:r>
            <w:r>
              <w:rPr>
                <w:rFonts w:ascii="Times New Roman" w:cs="Times New Roman" w:eastAsia="Times New Roman" w:hAnsi="Times New Roman"/>
                <w:sz w:val="22"/>
                <w:szCs w:val="22"/>
                <w:color w:val="auto"/>
                <w:vertAlign w:val="superscript"/>
              </w:rPr>
              <w:t>**</w:t>
            </w:r>
          </w:p>
        </w:tc>
        <w:tc>
          <w:tcPr>
            <w:tcW w:w="220" w:type="dxa"/>
            <w:vAlign w:val="bottom"/>
            <w:vMerge w:val="continue"/>
          </w:tcPr>
          <w:p>
            <w:pPr>
              <w:spacing w:after="0"/>
              <w:rPr>
                <w:sz w:val="17"/>
                <w:szCs w:val="17"/>
                <w:color w:val="auto"/>
              </w:rPr>
            </w:pPr>
          </w:p>
        </w:tc>
        <w:tc>
          <w:tcPr>
            <w:tcW w:w="7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Agreement and Plan of Merger, dated as of September 15, 2020, by and among Social Capital</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Hedosophia Corp. II, Hestia Merger SubInc. and Opendoor Labs Inc. (incorporated by reference</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gridSpan w:val="28"/>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to Exhibit 2.1 to Amendment No. 1 to the Current Report on Form 8-K filed September 17,</w:t>
              </w:r>
            </w:hyperlink>
          </w:p>
        </w:tc>
        <w:tc>
          <w:tcPr>
            <w:tcW w:w="0" w:type="dxa"/>
            <w:vAlign w:val="bottom"/>
          </w:tcPr>
          <w:p>
            <w:pPr>
              <w:spacing w:after="0"/>
              <w:rPr>
                <w:sz w:val="1"/>
                <w:szCs w:val="1"/>
                <w:color w:val="auto"/>
              </w:rPr>
            </w:pPr>
          </w:p>
        </w:tc>
      </w:tr>
      <w:tr>
        <w:trPr>
          <w:trHeight w:val="196"/>
        </w:trPr>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26"/>
                <w:szCs w:val="26"/>
                <w:color w:val="auto"/>
                <w:vertAlign w:val="superscript"/>
              </w:rPr>
              <w:t>**</w:t>
            </w:r>
          </w:p>
        </w:tc>
        <w:tc>
          <w:tcPr>
            <w:tcW w:w="2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2020).</w:t>
              </w:r>
            </w:hyperlink>
          </w:p>
        </w:tc>
        <w:tc>
          <w:tcPr>
            <w:tcW w:w="11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67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Certificate of Incorporation of Opendoor Technologies Inc. (incorporated by reference to</w:t>
              </w:r>
            </w:hyperlink>
          </w:p>
        </w:tc>
        <w:tc>
          <w:tcPr>
            <w:tcW w:w="56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80" w:type="dxa"/>
            <w:vAlign w:val="bottom"/>
            <w:gridSpan w:val="28"/>
          </w:tcPr>
          <w:p>
            <w:pPr>
              <w:spacing w:after="0"/>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Exhibit 3.1 to the Current Report on Form 8-K filed December 18, 2020).</w:t>
              </w:r>
            </w:hyperlink>
          </w:p>
        </w:tc>
        <w:tc>
          <w:tcPr>
            <w:tcW w:w="0" w:type="dxa"/>
            <w:vAlign w:val="bottom"/>
          </w:tcPr>
          <w:p>
            <w:pPr>
              <w:spacing w:after="0"/>
              <w:rPr>
                <w:sz w:val="1"/>
                <w:szCs w:val="1"/>
                <w:color w:val="auto"/>
              </w:rPr>
            </w:pPr>
          </w:p>
        </w:tc>
      </w:tr>
      <w:tr>
        <w:trPr>
          <w:trHeight w:val="203"/>
        </w:trPr>
        <w:tc>
          <w:tcPr>
            <w:tcW w:w="700" w:type="dxa"/>
            <w:vAlign w:val="bottom"/>
          </w:tcPr>
          <w:p>
            <w:pPr>
              <w:jc w:val="right"/>
              <w:ind w:right="192"/>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7"/>
                <w:szCs w:val="17"/>
                <w:color w:val="auto"/>
              </w:rPr>
            </w:pPr>
          </w:p>
        </w:tc>
        <w:tc>
          <w:tcPr>
            <w:tcW w:w="7280" w:type="dxa"/>
            <w:vAlign w:val="bottom"/>
            <w:gridSpan w:val="28"/>
          </w:tcPr>
          <w:p>
            <w:pPr>
              <w:spacing w:after="0" w:line="203" w:lineRule="exact"/>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By-Laws of Opendoor Technologies Inc.</w:t>
              </w:r>
            </w:hyperlink>
          </w:p>
        </w:tc>
        <w:tc>
          <w:tcPr>
            <w:tcW w:w="0" w:type="dxa"/>
            <w:vAlign w:val="bottom"/>
          </w:tcPr>
          <w:p>
            <w:pPr>
              <w:spacing w:after="0"/>
              <w:rPr>
                <w:sz w:val="1"/>
                <w:szCs w:val="1"/>
                <w:color w:val="auto"/>
              </w:rPr>
            </w:pPr>
          </w:p>
        </w:tc>
      </w:tr>
      <w:tr>
        <w:trPr>
          <w:trHeight w:val="229"/>
        </w:trPr>
        <w:tc>
          <w:tcPr>
            <w:tcW w:w="700" w:type="dxa"/>
            <w:vAlign w:val="bottom"/>
          </w:tcPr>
          <w:p>
            <w:pPr>
              <w:jc w:val="right"/>
              <w:ind w:right="52"/>
              <w:spacing w:after="0" w:line="228" w:lineRule="exact"/>
              <w:rPr>
                <w:sz w:val="20"/>
                <w:szCs w:val="20"/>
                <w:color w:val="auto"/>
              </w:rPr>
            </w:pPr>
            <w:r>
              <w:rPr>
                <w:rFonts w:ascii="Times New Roman" w:cs="Times New Roman" w:eastAsia="Times New Roman" w:hAnsi="Times New Roman"/>
                <w:sz w:val="18"/>
                <w:szCs w:val="18"/>
                <w:color w:val="auto"/>
              </w:rPr>
              <w:t>4.4</w:t>
            </w:r>
            <w:r>
              <w:rPr>
                <w:rFonts w:ascii="Times New Roman" w:cs="Times New Roman" w:eastAsia="Times New Roman" w:hAnsi="Times New Roman"/>
                <w:sz w:val="26"/>
                <w:szCs w:val="26"/>
                <w:color w:val="auto"/>
                <w:vertAlign w:val="superscript"/>
              </w:rPr>
              <w:t>**</w:t>
            </w:r>
          </w:p>
        </w:tc>
        <w:tc>
          <w:tcPr>
            <w:tcW w:w="220" w:type="dxa"/>
            <w:vAlign w:val="bottom"/>
          </w:tcPr>
          <w:p>
            <w:pPr>
              <w:spacing w:after="0"/>
              <w:rPr>
                <w:sz w:val="19"/>
                <w:szCs w:val="19"/>
                <w:color w:val="auto"/>
              </w:rPr>
            </w:pPr>
          </w:p>
        </w:tc>
        <w:tc>
          <w:tcPr>
            <w:tcW w:w="66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Warrant Agreement, dated April 27, 2020, between Social Capital Hedosophia Holdings</w:t>
              </w:r>
            </w:hyperlink>
          </w:p>
        </w:tc>
        <w:tc>
          <w:tcPr>
            <w:tcW w:w="62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Corp. II. and Continental Stock Transfer &amp; Trust Company, as warrant agent (incorporated by</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4.5</w:t>
            </w:r>
            <w:r>
              <w:rPr>
                <w:rFonts w:ascii="Times New Roman" w:cs="Times New Roman" w:eastAsia="Times New Roman" w:hAnsi="Times New Roman"/>
                <w:sz w:val="26"/>
                <w:szCs w:val="26"/>
                <w:color w:val="auto"/>
                <w:vertAlign w:val="superscript"/>
              </w:rPr>
              <w:t>**</w:t>
            </w:r>
          </w:p>
        </w:tc>
        <w:tc>
          <w:tcPr>
            <w:tcW w:w="220" w:type="dxa"/>
            <w:vAlign w:val="bottom"/>
          </w:tcPr>
          <w:p>
            <w:pPr>
              <w:spacing w:after="0"/>
              <w:rPr>
                <w:sz w:val="20"/>
                <w:szCs w:val="20"/>
                <w:color w:val="auto"/>
              </w:rPr>
            </w:pPr>
          </w:p>
        </w:tc>
        <w:tc>
          <w:tcPr>
            <w:tcW w:w="7280" w:type="dxa"/>
            <w:vAlign w:val="bottom"/>
            <w:gridSpan w:val="28"/>
          </w:tcPr>
          <w:p>
            <w:pPr>
              <w:spacing w:after="0"/>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reference to Exhibit 4.1 to the Current Report on Form 8-K filed April 30, 2020).</w:t>
              </w:r>
            </w:hyperlink>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60" w:type="dxa"/>
            <w:vAlign w:val="bottom"/>
            <w:tcBorders>
              <w:bottom w:val="single" w:sz="8" w:color="0000EE"/>
            </w:tcBorders>
            <w:gridSpan w:val="27"/>
          </w:tcPr>
          <w:p>
            <w:pPr>
              <w:spacing w:after="0" w:line="202"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Specimen Common Stock Certificate of Opendoor Technologies Inc. (incorporated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to Exhibit 4.5 to Amendment No. 1 to the Registration Statement on Form S-4 (File No. 333-</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249302) filed November 6, 2020).</w:t>
              </w:r>
            </w:hyperlink>
          </w:p>
        </w:tc>
        <w:tc>
          <w:tcPr>
            <w:tcW w:w="47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9"/>
                <w:szCs w:val="19"/>
                <w:color w:val="auto"/>
              </w:rPr>
            </w:pPr>
          </w:p>
        </w:tc>
        <w:tc>
          <w:tcPr>
            <w:tcW w:w="7280" w:type="dxa"/>
            <w:vAlign w:val="bottom"/>
            <w:gridSpan w:val="28"/>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Opinion of Latham &amp; Watkins LLP.</w:t>
              </w:r>
            </w:hyperlink>
          </w:p>
        </w:tc>
        <w:tc>
          <w:tcPr>
            <w:tcW w:w="0" w:type="dxa"/>
            <w:vAlign w:val="bottom"/>
          </w:tcPr>
          <w:p>
            <w:pPr>
              <w:spacing w:after="0"/>
              <w:rPr>
                <w:sz w:val="1"/>
                <w:szCs w:val="1"/>
                <w:color w:val="auto"/>
              </w:rPr>
            </w:pPr>
          </w:p>
        </w:tc>
      </w:tr>
      <w:tr>
        <w:trPr>
          <w:trHeight w:val="229"/>
        </w:trPr>
        <w:tc>
          <w:tcPr>
            <w:tcW w:w="700" w:type="dxa"/>
            <w:vAlign w:val="bottom"/>
          </w:tcPr>
          <w:p>
            <w:pPr>
              <w:jc w:val="right"/>
              <w:ind w:right="52"/>
              <w:spacing w:after="0" w:line="228" w:lineRule="exact"/>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26"/>
                <w:szCs w:val="26"/>
                <w:color w:val="auto"/>
                <w:vertAlign w:val="superscript"/>
              </w:rPr>
              <w:t>**</w:t>
            </w:r>
          </w:p>
        </w:tc>
        <w:tc>
          <w:tcPr>
            <w:tcW w:w="220" w:type="dxa"/>
            <w:vAlign w:val="bottom"/>
          </w:tcPr>
          <w:p>
            <w:pPr>
              <w:spacing w:after="0"/>
              <w:rPr>
                <w:sz w:val="19"/>
                <w:szCs w:val="19"/>
                <w:color w:val="auto"/>
              </w:rPr>
            </w:pPr>
          </w:p>
        </w:tc>
        <w:tc>
          <w:tcPr>
            <w:tcW w:w="70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Sponsor Support Agreement, dated September 15, 2020, by and among SCH Sponsor II LLC,</w:t>
              </w:r>
            </w:hyperlink>
          </w:p>
        </w:tc>
        <w:tc>
          <w:tcPr>
            <w:tcW w:w="22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the Registrant, each officer and director of the Registrant and Opendoor Labs Inc. (incorporated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gridSpan w:val="28"/>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by reference to Exhibit 10.2 to Amendment No. 1 to the Current Report on Form 8-K filed</w:t>
              </w:r>
            </w:hyperlink>
          </w:p>
        </w:tc>
        <w:tc>
          <w:tcPr>
            <w:tcW w:w="0" w:type="dxa"/>
            <w:vAlign w:val="bottom"/>
          </w:tcPr>
          <w:p>
            <w:pPr>
              <w:spacing w:after="0"/>
              <w:rPr>
                <w:sz w:val="1"/>
                <w:szCs w:val="1"/>
                <w:color w:val="auto"/>
              </w:rPr>
            </w:pPr>
          </w:p>
        </w:tc>
      </w:tr>
      <w:tr>
        <w:trPr>
          <w:trHeight w:val="196"/>
        </w:trPr>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26"/>
                <w:szCs w:val="26"/>
                <w:color w:val="auto"/>
                <w:vertAlign w:val="superscript"/>
              </w:rPr>
              <w:t>**</w:t>
            </w:r>
          </w:p>
        </w:tc>
        <w:tc>
          <w:tcPr>
            <w:tcW w:w="22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September 17, 2020).</w:t>
              </w:r>
            </w:hyperlink>
          </w:p>
        </w:tc>
        <w:tc>
          <w:tcPr>
            <w:tcW w:w="5200" w:type="dxa"/>
            <w:vAlign w:val="bottom"/>
            <w:tcBorders>
              <w:top w:val="single" w:sz="8" w:color="0000EE"/>
            </w:tcBorders>
            <w:gridSpan w:val="12"/>
          </w:tcPr>
          <w:p>
            <w:pPr>
              <w:spacing w:after="0"/>
              <w:rPr>
                <w:sz w:val="17"/>
                <w:szCs w:val="17"/>
                <w:color w:val="auto"/>
              </w:rPr>
            </w:pPr>
          </w:p>
        </w:tc>
        <w:tc>
          <w:tcPr>
            <w:tcW w:w="4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64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Opendoor Holders Support Agreement, dated September 15, 2020, by and among the</w:t>
              </w:r>
            </w:hyperlink>
          </w:p>
        </w:tc>
        <w:tc>
          <w:tcPr>
            <w:tcW w:w="86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Registrant, Opendoor Labs Inc. and certain stockholders of Opendoor Labs Inc. (incorporated</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by reference to Exhibit 10.3 to Amendment No. 1 to the Current Report on Form 8-Kfiled</w:t>
              </w:r>
            </w:hyperlink>
          </w:p>
        </w:tc>
        <w:tc>
          <w:tcPr>
            <w:tcW w:w="5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26"/>
                <w:szCs w:val="26"/>
                <w:color w:val="auto"/>
                <w:vertAlign w:val="superscript"/>
              </w:rPr>
              <w:t>**</w:t>
            </w:r>
          </w:p>
        </w:tc>
        <w:tc>
          <w:tcPr>
            <w:tcW w:w="220" w:type="dxa"/>
            <w:vAlign w:val="bottom"/>
          </w:tcPr>
          <w:p>
            <w:pPr>
              <w:spacing w:after="0"/>
              <w:rPr>
                <w:sz w:val="17"/>
                <w:szCs w:val="17"/>
                <w:color w:val="auto"/>
              </w:rPr>
            </w:pPr>
          </w:p>
        </w:tc>
        <w:tc>
          <w:tcPr>
            <w:tcW w:w="16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September 17, 2020).</w:t>
              </w:r>
            </w:hyperlink>
          </w:p>
        </w:tc>
        <w:tc>
          <w:tcPr>
            <w:tcW w:w="56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2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Form of Subscription Agreement, by and between the Registrant and the undersigned subscriber</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party thereto. (incorporated byreference to Exhibit 10.1 to Amendment No. 1 to the Current</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26"/>
                <w:szCs w:val="26"/>
                <w:color w:val="auto"/>
                <w:vertAlign w:val="superscript"/>
              </w:rPr>
              <w:t>**</w:t>
            </w:r>
          </w:p>
        </w:tc>
        <w:tc>
          <w:tcPr>
            <w:tcW w:w="220" w:type="dxa"/>
            <w:vAlign w:val="bottom"/>
          </w:tcPr>
          <w:p>
            <w:pPr>
              <w:spacing w:after="0"/>
              <w:rPr>
                <w:sz w:val="17"/>
                <w:szCs w:val="17"/>
                <w:color w:val="auto"/>
              </w:rPr>
            </w:pPr>
          </w:p>
        </w:tc>
        <w:tc>
          <w:tcPr>
            <w:tcW w:w="3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Report on Form 8-K filed September 17, 2020).</w:t>
              </w:r>
            </w:hyperlink>
          </w:p>
        </w:tc>
        <w:tc>
          <w:tcPr>
            <w:tcW w:w="36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280" w:type="dxa"/>
            <w:vAlign w:val="bottom"/>
            <w:gridSpan w:val="28"/>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Amended and Restated Registration Rights Agreement, by and among Opendoor</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gridSpan w:val="28"/>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Technologies Inc., SCH Sponsor II LLC, certain former stockholders of Opendoor Labs Inc.,</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Cipora Herman, David Spillane and ChaChaCha SPAC B, LLC, Hedosophia Group Limited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80" w:type="dxa"/>
            <w:vAlign w:val="bottom"/>
            <w:gridSpan w:val="28"/>
          </w:tcPr>
          <w:p>
            <w:pPr>
              <w:spacing w:after="0"/>
              <w:rPr>
                <w:rFonts w:ascii="Times New Roman" w:cs="Times New Roman" w:eastAsia="Times New Roman" w:hAnsi="Times New Roman"/>
                <w:sz w:val="18"/>
                <w:szCs w:val="18"/>
                <w:u w:val="single" w:color="auto"/>
                <w:color w:val="0000EE"/>
              </w:rPr>
            </w:pPr>
            <w:hyperlink r:id="rId27">
              <w:r>
                <w:rPr>
                  <w:rFonts w:ascii="Times New Roman" w:cs="Times New Roman" w:eastAsia="Times New Roman" w:hAnsi="Times New Roman"/>
                  <w:sz w:val="18"/>
                  <w:szCs w:val="18"/>
                  <w:u w:val="single" w:color="auto"/>
                  <w:color w:val="0000EE"/>
                </w:rPr>
                <w:t>010118 Management, L.P. (incorporated by reference to Exhibit 10.14 to the Current Report on</w:t>
              </w:r>
            </w:hyperlink>
          </w:p>
        </w:tc>
        <w:tc>
          <w:tcPr>
            <w:tcW w:w="0" w:type="dxa"/>
            <w:vAlign w:val="bottom"/>
          </w:tcPr>
          <w:p>
            <w:pPr>
              <w:spacing w:after="0"/>
              <w:rPr>
                <w:sz w:val="1"/>
                <w:szCs w:val="1"/>
                <w:color w:val="auto"/>
              </w:rPr>
            </w:pPr>
          </w:p>
        </w:tc>
      </w:tr>
      <w:tr>
        <w:trPr>
          <w:trHeight w:val="234"/>
        </w:trPr>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26"/>
                <w:szCs w:val="26"/>
                <w:color w:val="auto"/>
                <w:vertAlign w:val="superscript"/>
              </w:rPr>
              <w:t>**</w:t>
            </w:r>
          </w:p>
        </w:tc>
        <w:tc>
          <w:tcPr>
            <w:tcW w:w="220" w:type="dxa"/>
            <w:vAlign w:val="bottom"/>
          </w:tcPr>
          <w:p>
            <w:pPr>
              <w:spacing w:after="0"/>
              <w:rPr>
                <w:sz w:val="20"/>
                <w:szCs w:val="20"/>
                <w:color w:val="auto"/>
              </w:rPr>
            </w:pPr>
          </w:p>
        </w:tc>
        <w:tc>
          <w:tcPr>
            <w:tcW w:w="7280" w:type="dxa"/>
            <w:vAlign w:val="bottom"/>
            <w:gridSpan w:val="28"/>
          </w:tcPr>
          <w:p>
            <w:pPr>
              <w:spacing w:after="0"/>
              <w:rPr>
                <w:rFonts w:ascii="Times New Roman" w:cs="Times New Roman" w:eastAsia="Times New Roman" w:hAnsi="Times New Roman"/>
                <w:sz w:val="18"/>
                <w:szCs w:val="18"/>
                <w:u w:val="single" w:color="auto"/>
                <w:color w:val="0000EE"/>
              </w:rPr>
            </w:pPr>
            <w:hyperlink r:id="rId27">
              <w:r>
                <w:rPr>
                  <w:rFonts w:ascii="Times New Roman" w:cs="Times New Roman" w:eastAsia="Times New Roman" w:hAnsi="Times New Roman"/>
                  <w:sz w:val="18"/>
                  <w:szCs w:val="18"/>
                  <w:u w:val="single" w:color="auto"/>
                  <w:color w:val="0000EE"/>
                </w:rPr>
                <w:t>Form 8-K filed December 18, 2020).</w:t>
              </w:r>
            </w:hyperlink>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680" w:type="dxa"/>
            <w:vAlign w:val="bottom"/>
            <w:tcBorders>
              <w:bottom w:val="single" w:sz="8" w:color="0000EE"/>
            </w:tcBorders>
            <w:gridSpan w:val="11"/>
          </w:tcPr>
          <w:p>
            <w:pPr>
              <w:spacing w:after="0" w:line="202"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Convertible Notes Exchange Agreement, dated as of September 14, 2020, by and among</w:t>
              </w:r>
            </w:hyperlink>
          </w:p>
        </w:tc>
        <w:tc>
          <w:tcPr>
            <w:tcW w:w="6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gridSpan w:val="28"/>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Opendoor Labs Inc. and the holders party thereto (incorporated by reference to Exhibit 10.18 to</w:t>
              </w:r>
            </w:hyperlink>
          </w:p>
        </w:tc>
        <w:tc>
          <w:tcPr>
            <w:tcW w:w="0" w:type="dxa"/>
            <w:vAlign w:val="bottom"/>
          </w:tcPr>
          <w:p>
            <w:pPr>
              <w:spacing w:after="0"/>
              <w:rPr>
                <w:sz w:val="1"/>
                <w:szCs w:val="1"/>
                <w:color w:val="auto"/>
              </w:rPr>
            </w:pPr>
          </w:p>
        </w:tc>
      </w:tr>
      <w:tr>
        <w:trPr>
          <w:trHeight w:val="237"/>
        </w:trPr>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26"/>
                <w:szCs w:val="26"/>
                <w:color w:val="auto"/>
                <w:vertAlign w:val="superscript"/>
              </w:rPr>
              <w:t>**</w:t>
            </w:r>
          </w:p>
        </w:tc>
        <w:tc>
          <w:tcPr>
            <w:tcW w:w="220" w:type="dxa"/>
            <w:vAlign w:val="bottom"/>
          </w:tcPr>
          <w:p>
            <w:pPr>
              <w:spacing w:after="0"/>
              <w:rPr>
                <w:sz w:val="20"/>
                <w:szCs w:val="20"/>
                <w:color w:val="auto"/>
              </w:rPr>
            </w:pPr>
          </w:p>
        </w:tc>
        <w:tc>
          <w:tcPr>
            <w:tcW w:w="7220" w:type="dxa"/>
            <w:vAlign w:val="bottom"/>
            <w:tcBorders>
              <w:top w:val="single" w:sz="8" w:color="0000EE"/>
            </w:tcBorders>
            <w:gridSpan w:val="25"/>
          </w:tcPr>
          <w:p>
            <w:pPr>
              <w:spacing w:after="0"/>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the Registration Statement on Form S-4 (File No. 333-249302) filed October 5, 2020).</w:t>
              </w:r>
            </w:hyperlink>
          </w:p>
        </w:tc>
        <w:tc>
          <w:tcPr>
            <w:tcW w:w="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gridSpan w:val="28"/>
          </w:tcPr>
          <w:p>
            <w:pPr>
              <w:spacing w:after="0" w:line="202"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Indemnification Agreement (incorporated by reference to Exhibit 10.1 to the Current</w:t>
              </w:r>
            </w:hyperlink>
          </w:p>
        </w:tc>
        <w:tc>
          <w:tcPr>
            <w:tcW w:w="0" w:type="dxa"/>
            <w:vAlign w:val="bottom"/>
          </w:tcPr>
          <w:p>
            <w:pPr>
              <w:spacing w:after="0"/>
              <w:rPr>
                <w:sz w:val="1"/>
                <w:szCs w:val="1"/>
                <w:color w:val="auto"/>
              </w:rPr>
            </w:pPr>
          </w:p>
        </w:tc>
      </w:tr>
      <w:tr>
        <w:trPr>
          <w:trHeight w:val="196"/>
        </w:trPr>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26"/>
                <w:szCs w:val="26"/>
                <w:color w:val="auto"/>
                <w:vertAlign w:val="superscript"/>
              </w:rPr>
              <w:t>**</w:t>
            </w:r>
          </w:p>
        </w:tc>
        <w:tc>
          <w:tcPr>
            <w:tcW w:w="220" w:type="dxa"/>
            <w:vAlign w:val="bottom"/>
          </w:tcPr>
          <w:p>
            <w:pPr>
              <w:spacing w:after="0"/>
              <w:rPr>
                <w:sz w:val="17"/>
                <w:szCs w:val="17"/>
                <w:color w:val="auto"/>
              </w:rPr>
            </w:pPr>
          </w:p>
        </w:tc>
        <w:tc>
          <w:tcPr>
            <w:tcW w:w="70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Report on Form 8-K filed December 18, 2020).</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1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Opendoor Labs Inc. 2014 Stock Plan (as amended) (incorporated by reference to Exhibit 10.18</w:t>
              </w:r>
            </w:hyperlink>
          </w:p>
        </w:tc>
        <w:tc>
          <w:tcPr>
            <w:tcW w:w="1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26"/>
                <w:szCs w:val="26"/>
                <w:color w:val="auto"/>
                <w:vertAlign w:val="superscript"/>
              </w:rPr>
              <w:t>**</w:t>
            </w:r>
          </w:p>
        </w:tc>
        <w:tc>
          <w:tcPr>
            <w:tcW w:w="220" w:type="dxa"/>
            <w:vAlign w:val="bottom"/>
          </w:tcPr>
          <w:p>
            <w:pPr>
              <w:spacing w:after="0"/>
              <w:rPr>
                <w:sz w:val="20"/>
                <w:szCs w:val="20"/>
                <w:color w:val="auto"/>
              </w:rPr>
            </w:pPr>
          </w:p>
        </w:tc>
        <w:tc>
          <w:tcPr>
            <w:tcW w:w="7280" w:type="dxa"/>
            <w:vAlign w:val="bottom"/>
            <w:gridSpan w:val="28"/>
          </w:tcPr>
          <w:p>
            <w:pPr>
              <w:spacing w:after="0"/>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u w:val="single" w:color="auto"/>
                  <w:color w:val="0000EE"/>
                </w:rPr>
                <w:t>to the Registration Statement on Form S-4 (File No. 333-249302) filed October 5, 2020).</w:t>
              </w:r>
            </w:hyperlink>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gridSpan w:val="28"/>
          </w:tcPr>
          <w:p>
            <w:pPr>
              <w:spacing w:after="0" w:line="202"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of Notice of Restricted Stock Unit Grant and RSU Terms and Conditions Under 2014</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gridSpan w:val="6"/>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14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Stock Plan (incorporated by reference toExhibit 10.19 to the Registration Statement on Form S-</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10.9</w:t>
            </w:r>
            <w:r>
              <w:rPr>
                <w:rFonts w:ascii="Times New Roman" w:cs="Times New Roman" w:eastAsia="Times New Roman" w:hAnsi="Times New Roman"/>
                <w:sz w:val="26"/>
                <w:szCs w:val="26"/>
                <w:color w:val="auto"/>
                <w:vertAlign w:val="superscript"/>
              </w:rPr>
              <w:t>**</w:t>
            </w:r>
          </w:p>
        </w:tc>
        <w:tc>
          <w:tcPr>
            <w:tcW w:w="220" w:type="dxa"/>
            <w:vAlign w:val="bottom"/>
          </w:tcPr>
          <w:p>
            <w:pPr>
              <w:spacing w:after="0"/>
              <w:rPr>
                <w:sz w:val="17"/>
                <w:szCs w:val="17"/>
                <w:color w:val="auto"/>
              </w:rPr>
            </w:pPr>
          </w:p>
        </w:tc>
        <w:tc>
          <w:tcPr>
            <w:tcW w:w="3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4 (File No. 333-249302) filed October 5, 2020).</w:t>
              </w:r>
            </w:hyperlink>
          </w:p>
        </w:tc>
        <w:tc>
          <w:tcPr>
            <w:tcW w:w="36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6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Form of Notice of Stock Option Grant and Stock Option Agreement under 2014 Stock Plan</w:t>
              </w:r>
            </w:hyperlink>
          </w:p>
        </w:tc>
        <w:tc>
          <w:tcPr>
            <w:tcW w:w="38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gridSpan w:val="28"/>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(incorporated by reference to Exhibit 10.20 to Amendment No. 3 to the Registration Statement</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4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on Form S-4 (File No. 333-249302) filed November 27, 2020).</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274320</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4" w:name="page5"/>
    <w:bookmarkEnd w:id="4"/>
    <w:tbl>
      <w:tblPr>
        <w:tblLayout w:type="fixed"/>
        <w:tblInd w:w="400" w:type="dxa"/>
        <w:tblCellMar>
          <w:top w:w="0" w:type="dxa"/>
          <w:left w:w="0" w:type="dxa"/>
          <w:bottom w:w="0" w:type="dxa"/>
          <w:right w:w="0" w:type="dxa"/>
        </w:tblCellMar>
      </w:tblPr>
      <w:tr>
        <w:trPr>
          <w:trHeight w:val="190"/>
        </w:trPr>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20" w:type="dxa"/>
            <w:vAlign w:val="bottom"/>
            <w:gridSpan w:val="24"/>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7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6"/>
                <w:szCs w:val="16"/>
                <w:color w:val="auto"/>
              </w:rPr>
              <w:t>10.10</w:t>
            </w:r>
            <w:r>
              <w:rPr>
                <w:rFonts w:ascii="Times New Roman" w:cs="Times New Roman" w:eastAsia="Times New Roman" w:hAnsi="Times New Roman"/>
                <w:sz w:val="22"/>
                <w:szCs w:val="22"/>
                <w:color w:val="auto"/>
                <w:vertAlign w:val="superscript"/>
              </w:rPr>
              <w:t>**</w:t>
            </w:r>
          </w:p>
        </w:tc>
        <w:tc>
          <w:tcPr>
            <w:tcW w:w="220" w:type="dxa"/>
            <w:vAlign w:val="bottom"/>
            <w:vMerge w:val="continue"/>
          </w:tcPr>
          <w:p>
            <w:pPr>
              <w:spacing w:after="0"/>
              <w:rPr>
                <w:sz w:val="17"/>
                <w:szCs w:val="17"/>
                <w:color w:val="auto"/>
              </w:rPr>
            </w:pPr>
          </w:p>
        </w:tc>
        <w:tc>
          <w:tcPr>
            <w:tcW w:w="6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Opendoor Technologies Inc. 2020 Incentive Award Plan (incorporated by reference to</w:t>
              </w:r>
            </w:hyperlink>
          </w:p>
        </w:tc>
        <w:tc>
          <w:tcPr>
            <w:tcW w:w="8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10.11</w:t>
            </w:r>
            <w:r>
              <w:rPr>
                <w:rFonts w:ascii="Times New Roman" w:cs="Times New Roman" w:eastAsia="Times New Roman" w:hAnsi="Times New Roman"/>
                <w:sz w:val="26"/>
                <w:szCs w:val="26"/>
                <w:color w:val="auto"/>
                <w:w w:val="93"/>
                <w:vertAlign w:val="superscript"/>
              </w:rPr>
              <w:t>**</w:t>
            </w:r>
          </w:p>
        </w:tc>
        <w:tc>
          <w:tcPr>
            <w:tcW w:w="220" w:type="dxa"/>
            <w:vAlign w:val="bottom"/>
          </w:tcPr>
          <w:p>
            <w:pPr>
              <w:spacing w:after="0"/>
              <w:rPr>
                <w:sz w:val="20"/>
                <w:szCs w:val="20"/>
                <w:color w:val="auto"/>
              </w:rPr>
            </w:pPr>
          </w:p>
        </w:tc>
        <w:tc>
          <w:tcPr>
            <w:tcW w:w="7280" w:type="dxa"/>
            <w:vAlign w:val="bottom"/>
            <w:gridSpan w:val="31"/>
          </w:tcPr>
          <w:p>
            <w:pPr>
              <w:spacing w:after="0"/>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Exhibit 10.3 to the Current Report on Form 8-K filed December 18, 2020).</w:t>
              </w:r>
            </w:hyperlink>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1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Form of Restricted Stock Unit Grant Notice and Restricted Stock Unit Agreement Under 2020</w:t>
              </w:r>
            </w:hyperlink>
          </w:p>
        </w:tc>
        <w:tc>
          <w:tcPr>
            <w:tcW w:w="1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Incentive Award Plan (incorporated by reference to Exhibit 10.3(a) to the Current Report on</w:t>
              </w:r>
            </w:hyperlink>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10.12</w:t>
            </w:r>
            <w:r>
              <w:rPr>
                <w:rFonts w:ascii="Times New Roman" w:cs="Times New Roman" w:eastAsia="Times New Roman" w:hAnsi="Times New Roman"/>
                <w:sz w:val="26"/>
                <w:szCs w:val="26"/>
                <w:color w:val="auto"/>
                <w:w w:val="96"/>
                <w:vertAlign w:val="superscript"/>
              </w:rPr>
              <w:t>**</w:t>
            </w:r>
          </w:p>
        </w:tc>
        <w:tc>
          <w:tcPr>
            <w:tcW w:w="220" w:type="dxa"/>
            <w:vAlign w:val="bottom"/>
          </w:tcPr>
          <w:p>
            <w:pPr>
              <w:spacing w:after="0"/>
              <w:rPr>
                <w:sz w:val="17"/>
                <w:szCs w:val="17"/>
                <w:color w:val="auto"/>
              </w:rPr>
            </w:pPr>
          </w:p>
        </w:tc>
        <w:tc>
          <w:tcPr>
            <w:tcW w:w="27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Form 8-K filed December 18, 2020).</w:t>
              </w:r>
            </w:hyperlink>
          </w:p>
        </w:tc>
        <w:tc>
          <w:tcPr>
            <w:tcW w:w="45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Opendoor Technologies Inc. 2020 Employee Stock Purchase Plan (incorporated by reference to</w:t>
              </w:r>
            </w:hyperlink>
          </w:p>
        </w:tc>
        <w:tc>
          <w:tcPr>
            <w:tcW w:w="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10.13</w:t>
            </w:r>
            <w:r>
              <w:rPr>
                <w:rFonts w:ascii="Times New Roman" w:cs="Times New Roman" w:eastAsia="Times New Roman" w:hAnsi="Times New Roman"/>
                <w:sz w:val="26"/>
                <w:szCs w:val="26"/>
                <w:color w:val="auto"/>
                <w:w w:val="96"/>
                <w:vertAlign w:val="superscript"/>
              </w:rPr>
              <w:t>**</w:t>
            </w:r>
          </w:p>
        </w:tc>
        <w:tc>
          <w:tcPr>
            <w:tcW w:w="220" w:type="dxa"/>
            <w:vAlign w:val="bottom"/>
          </w:tcPr>
          <w:p>
            <w:pPr>
              <w:spacing w:after="0"/>
              <w:rPr>
                <w:sz w:val="17"/>
                <w:szCs w:val="17"/>
                <w:color w:val="auto"/>
              </w:rPr>
            </w:pPr>
          </w:p>
        </w:tc>
        <w:tc>
          <w:tcPr>
            <w:tcW w:w="7280" w:type="dxa"/>
            <w:vAlign w:val="bottom"/>
            <w:gridSpan w:val="31"/>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Exhibit 10.4 to the Current Report on Form 8-K filed December 18, 2020).</w:t>
              </w:r>
            </w:hyperlink>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0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Amended and Restated Continued Employment Letter Agreement, dated as of September 14,</w:t>
              </w:r>
            </w:hyperlink>
          </w:p>
        </w:tc>
        <w:tc>
          <w:tcPr>
            <w:tcW w:w="26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2020, by and between Opendoor Labs Inc. and Eric Wu (incorporated by reference to</w:t>
              </w:r>
            </w:hyperlink>
          </w:p>
        </w:tc>
        <w:tc>
          <w:tcPr>
            <w:tcW w:w="8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gridSpan w:val="31"/>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Exhibit 10.24 to Amendment No. 3 to the Registration Statement on Form S-4 (File No. 333-</w:t>
              </w:r>
            </w:hyperlink>
          </w:p>
        </w:tc>
        <w:tc>
          <w:tcPr>
            <w:tcW w:w="0" w:type="dxa"/>
            <w:vAlign w:val="bottom"/>
          </w:tcPr>
          <w:p>
            <w:pPr>
              <w:spacing w:after="0"/>
              <w:rPr>
                <w:sz w:val="1"/>
                <w:szCs w:val="1"/>
                <w:color w:val="auto"/>
              </w:rPr>
            </w:pPr>
          </w:p>
        </w:tc>
      </w:tr>
      <w:tr>
        <w:trPr>
          <w:trHeight w:val="196"/>
        </w:trPr>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10.14</w:t>
            </w:r>
            <w:r>
              <w:rPr>
                <w:rFonts w:ascii="Times New Roman" w:cs="Times New Roman" w:eastAsia="Times New Roman" w:hAnsi="Times New Roman"/>
                <w:sz w:val="26"/>
                <w:szCs w:val="26"/>
                <w:color w:val="auto"/>
                <w:w w:val="96"/>
                <w:vertAlign w:val="superscript"/>
              </w:rPr>
              <w:t>**</w:t>
            </w:r>
          </w:p>
        </w:tc>
        <w:tc>
          <w:tcPr>
            <w:tcW w:w="22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249302) filed November 27, 2020).</w:t>
              </w:r>
            </w:hyperlink>
          </w:p>
        </w:tc>
        <w:tc>
          <w:tcPr>
            <w:tcW w:w="4340" w:type="dxa"/>
            <w:vAlign w:val="bottom"/>
            <w:tcBorders>
              <w:top w:val="single" w:sz="8" w:color="0000EE"/>
            </w:tcBorders>
            <w:gridSpan w:val="18"/>
          </w:tcPr>
          <w:p>
            <w:pPr>
              <w:spacing w:after="0"/>
              <w:rPr>
                <w:sz w:val="17"/>
                <w:szCs w:val="17"/>
                <w:color w:val="auto"/>
              </w:rPr>
            </w:pPr>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9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Offer Letter Agreement, dated as of July 22, 2019, by and between Opendoor Labs Inc. and</w:t>
              </w:r>
            </w:hyperlink>
          </w:p>
        </w:tc>
        <w:tc>
          <w:tcPr>
            <w:tcW w:w="36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Tom Willerer (as amended September 1,2020) (incorporated by reference to Exhibit 10.25 to</w:t>
              </w:r>
            </w:hyperlink>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Amendment No. 3 to the Registration Statement on Form S-4 (File No. 333-249302) filed</w:t>
              </w:r>
            </w:hyperlink>
          </w:p>
        </w:tc>
        <w:tc>
          <w:tcPr>
            <w:tcW w:w="5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gridSpan w:val="31"/>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November 27, 2020).</w:t>
              </w:r>
            </w:hyperlink>
          </w:p>
        </w:tc>
        <w:tc>
          <w:tcPr>
            <w:tcW w:w="0" w:type="dxa"/>
            <w:vAlign w:val="bottom"/>
          </w:tcPr>
          <w:p>
            <w:pPr>
              <w:spacing w:after="0"/>
              <w:rPr>
                <w:sz w:val="1"/>
                <w:szCs w:val="1"/>
                <w:color w:val="auto"/>
              </w:rPr>
            </w:pPr>
          </w:p>
        </w:tc>
      </w:tr>
      <w:tr>
        <w:trPr>
          <w:trHeight w:val="20"/>
        </w:trPr>
        <w:tc>
          <w:tcPr>
            <w:tcW w:w="700" w:type="dxa"/>
            <w:vAlign w:val="bottom"/>
            <w:vMerge w:val="restart"/>
          </w:tcPr>
          <w:p>
            <w:pPr>
              <w:jc w:val="center"/>
              <w:spacing w:after="0" w:line="270" w:lineRule="exact"/>
              <w:rPr>
                <w:sz w:val="20"/>
                <w:szCs w:val="20"/>
                <w:color w:val="auto"/>
              </w:rPr>
            </w:pPr>
            <w:r>
              <w:rPr>
                <w:rFonts w:ascii="Times New Roman" w:cs="Times New Roman" w:eastAsia="Times New Roman" w:hAnsi="Times New Roman"/>
                <w:sz w:val="18"/>
                <w:szCs w:val="18"/>
                <w:color w:val="auto"/>
                <w:w w:val="96"/>
              </w:rPr>
              <w:t>10.15</w:t>
            </w:r>
            <w:r>
              <w:rPr>
                <w:rFonts w:ascii="Times New Roman" w:cs="Times New Roman" w:eastAsia="Times New Roman" w:hAnsi="Times New Roman"/>
                <w:sz w:val="26"/>
                <w:szCs w:val="26"/>
                <w:color w:val="auto"/>
                <w:w w:val="96"/>
                <w:vertAlign w:val="superscript"/>
              </w:rPr>
              <w:t>**</w:t>
            </w: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67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Amendment to Offer Letter Agreement, entered into as of July 22, 2019, by and between</w:t>
              </w:r>
            </w:hyperlink>
          </w:p>
        </w:tc>
        <w:tc>
          <w:tcPr>
            <w:tcW w:w="58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gridSpan w:val="31"/>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Opendoor Labs Inc. and Tom Willerer, dated as of September 1, 2020 (incorporated by</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reference to Exhibit 10.26 to Amendment No. 3 to the Registration Statement on Form S-4 (File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gridSpan w:val="31"/>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No. 333-249302) filed November 27, 2020).</w:t>
              </w:r>
            </w:hyperlink>
          </w:p>
        </w:tc>
        <w:tc>
          <w:tcPr>
            <w:tcW w:w="0" w:type="dxa"/>
            <w:vAlign w:val="bottom"/>
          </w:tcPr>
          <w:p>
            <w:pPr>
              <w:spacing w:after="0"/>
              <w:rPr>
                <w:sz w:val="1"/>
                <w:szCs w:val="1"/>
                <w:color w:val="auto"/>
              </w:rPr>
            </w:pPr>
          </w:p>
        </w:tc>
      </w:tr>
      <w:tr>
        <w:trPr>
          <w:trHeight w:val="20"/>
        </w:trPr>
        <w:tc>
          <w:tcPr>
            <w:tcW w:w="700" w:type="dxa"/>
            <w:vAlign w:val="bottom"/>
            <w:vMerge w:val="restart"/>
          </w:tcPr>
          <w:p>
            <w:pPr>
              <w:jc w:val="center"/>
              <w:spacing w:after="0" w:line="270" w:lineRule="exact"/>
              <w:rPr>
                <w:sz w:val="20"/>
                <w:szCs w:val="20"/>
                <w:color w:val="auto"/>
              </w:rPr>
            </w:pPr>
            <w:r>
              <w:rPr>
                <w:rFonts w:ascii="Times New Roman" w:cs="Times New Roman" w:eastAsia="Times New Roman" w:hAnsi="Times New Roman"/>
                <w:sz w:val="18"/>
                <w:szCs w:val="18"/>
                <w:color w:val="auto"/>
                <w:w w:val="96"/>
              </w:rPr>
              <w:t>10.16</w:t>
            </w:r>
            <w:r>
              <w:rPr>
                <w:rFonts w:ascii="Times New Roman" w:cs="Times New Roman" w:eastAsia="Times New Roman" w:hAnsi="Times New Roman"/>
                <w:sz w:val="26"/>
                <w:szCs w:val="26"/>
                <w:color w:val="auto"/>
                <w:w w:val="96"/>
                <w:vertAlign w:val="superscript"/>
              </w:rPr>
              <w:t>**</w:t>
            </w: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0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Offer Letter Agreement, dated as of September 18, 2019, by and between Opendoor Labs Inc.</w:t>
              </w:r>
            </w:hyperlink>
          </w:p>
        </w:tc>
        <w:tc>
          <w:tcPr>
            <w:tcW w:w="20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and Julie Todaro (incorporated byreference to Exhibit 10.27 to Amendment No. 3 to the</w:t>
              </w:r>
            </w:hyperlink>
          </w:p>
        </w:tc>
        <w:tc>
          <w:tcPr>
            <w:tcW w:w="6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80" w:type="dxa"/>
            <w:vAlign w:val="bottom"/>
            <w:gridSpan w:val="31"/>
          </w:tcPr>
          <w:p>
            <w:pPr>
              <w:spacing w:after="0"/>
              <w:rPr>
                <w:rFonts w:ascii="Times New Roman" w:cs="Times New Roman" w:eastAsia="Times New Roman" w:hAnsi="Times New Roman"/>
                <w:sz w:val="18"/>
                <w:szCs w:val="18"/>
                <w:u w:val="single" w:color="auto"/>
                <w:color w:val="0000EE"/>
              </w:rPr>
            </w:pPr>
            <w:hyperlink r:id="rId40">
              <w:r>
                <w:rPr>
                  <w:rFonts w:ascii="Times New Roman" w:cs="Times New Roman" w:eastAsia="Times New Roman" w:hAnsi="Times New Roman"/>
                  <w:sz w:val="18"/>
                  <w:szCs w:val="18"/>
                  <w:u w:val="single" w:color="auto"/>
                  <w:color w:val="0000EE"/>
                </w:rPr>
                <w:t>Registration Statement on Form S-4 (File No. 333-249302) filed November 27,2020).</w:t>
              </w:r>
            </w:hyperlink>
          </w:p>
        </w:tc>
        <w:tc>
          <w:tcPr>
            <w:tcW w:w="0" w:type="dxa"/>
            <w:vAlign w:val="bottom"/>
          </w:tcPr>
          <w:p>
            <w:pPr>
              <w:spacing w:after="0"/>
              <w:rPr>
                <w:sz w:val="1"/>
                <w:szCs w:val="1"/>
                <w:color w:val="auto"/>
              </w:rPr>
            </w:pPr>
          </w:p>
        </w:tc>
      </w:tr>
      <w:tr>
        <w:trPr>
          <w:trHeight w:val="230"/>
        </w:trPr>
        <w:tc>
          <w:tcPr>
            <w:tcW w:w="70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10.17</w:t>
            </w:r>
            <w:r>
              <w:rPr>
                <w:rFonts w:ascii="Times New Roman" w:cs="Times New Roman" w:eastAsia="Times New Roman" w:hAnsi="Times New Roman"/>
                <w:sz w:val="26"/>
                <w:szCs w:val="26"/>
                <w:color w:val="auto"/>
                <w:w w:val="96"/>
                <w:vertAlign w:val="superscript"/>
              </w:rPr>
              <w:t>**</w:t>
            </w:r>
          </w:p>
        </w:tc>
        <w:tc>
          <w:tcPr>
            <w:tcW w:w="220" w:type="dxa"/>
            <w:vAlign w:val="bottom"/>
          </w:tcPr>
          <w:p>
            <w:pPr>
              <w:spacing w:after="0"/>
              <w:rPr>
                <w:sz w:val="19"/>
                <w:szCs w:val="19"/>
                <w:color w:val="auto"/>
              </w:rPr>
            </w:pPr>
          </w:p>
        </w:tc>
        <w:tc>
          <w:tcPr>
            <w:tcW w:w="70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Offer Letter Agreement, dated as of April 13, 2014, by and between Opendoor Labs Inc. and</w:t>
              </w:r>
            </w:hyperlink>
          </w:p>
        </w:tc>
        <w:tc>
          <w:tcPr>
            <w:tcW w:w="28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Ian Wong (as amended September 1, 2020) (incorporated by reference to Exhibit 10.28 to</w:t>
              </w:r>
            </w:hyperlink>
          </w:p>
        </w:tc>
        <w:tc>
          <w:tcPr>
            <w:tcW w:w="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Amendment No. 3 to the Registration Statement on Form S-4 (File No. 333-249302) filed</w:t>
              </w:r>
            </w:hyperlink>
          </w:p>
        </w:tc>
        <w:tc>
          <w:tcPr>
            <w:tcW w:w="5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gridSpan w:val="31"/>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November 27, 2020).</w:t>
              </w:r>
            </w:hyperlink>
          </w:p>
        </w:tc>
        <w:tc>
          <w:tcPr>
            <w:tcW w:w="0" w:type="dxa"/>
            <w:vAlign w:val="bottom"/>
          </w:tcPr>
          <w:p>
            <w:pPr>
              <w:spacing w:after="0"/>
              <w:rPr>
                <w:sz w:val="1"/>
                <w:szCs w:val="1"/>
                <w:color w:val="auto"/>
              </w:rPr>
            </w:pPr>
          </w:p>
        </w:tc>
      </w:tr>
      <w:tr>
        <w:trPr>
          <w:trHeight w:val="20"/>
        </w:trPr>
        <w:tc>
          <w:tcPr>
            <w:tcW w:w="700" w:type="dxa"/>
            <w:vAlign w:val="bottom"/>
            <w:vMerge w:val="restart"/>
          </w:tcPr>
          <w:p>
            <w:pPr>
              <w:jc w:val="center"/>
              <w:spacing w:after="0" w:line="270" w:lineRule="exact"/>
              <w:rPr>
                <w:sz w:val="20"/>
                <w:szCs w:val="20"/>
                <w:color w:val="auto"/>
              </w:rPr>
            </w:pPr>
            <w:r>
              <w:rPr>
                <w:rFonts w:ascii="Times New Roman" w:cs="Times New Roman" w:eastAsia="Times New Roman" w:hAnsi="Times New Roman"/>
                <w:sz w:val="18"/>
                <w:szCs w:val="18"/>
                <w:color w:val="auto"/>
                <w:w w:val="96"/>
              </w:rPr>
              <w:t>10.18</w:t>
            </w:r>
            <w:r>
              <w:rPr>
                <w:rFonts w:ascii="Times New Roman" w:cs="Times New Roman" w:eastAsia="Times New Roman" w:hAnsi="Times New Roman"/>
                <w:sz w:val="26"/>
                <w:szCs w:val="26"/>
                <w:color w:val="auto"/>
                <w:w w:val="96"/>
                <w:vertAlign w:val="superscript"/>
              </w:rPr>
              <w:t>**</w:t>
            </w: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280" w:type="dxa"/>
            <w:vAlign w:val="bottom"/>
            <w:gridSpan w:val="31"/>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Amendment to Offer Letter Agreement, entered into as of April 13, 2014, by and between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Opendoor Labs Inc. and Ian Wong, dated as of September 1, 2020 (incorporated by reference to</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Exhibit 10.29 to Amendment No. 3 to the Registration Statement on Form S-4 (File No. 333-</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249302) filed November 27, 2020).</w:t>
              </w:r>
            </w:hyperlink>
          </w:p>
        </w:tc>
        <w:tc>
          <w:tcPr>
            <w:tcW w:w="46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00" w:type="dxa"/>
            <w:vAlign w:val="bottom"/>
          </w:tcPr>
          <w:p>
            <w:pPr>
              <w:jc w:val="center"/>
              <w:spacing w:after="0" w:line="250" w:lineRule="exact"/>
              <w:rPr>
                <w:sz w:val="20"/>
                <w:szCs w:val="20"/>
                <w:color w:val="auto"/>
              </w:rPr>
            </w:pPr>
            <w:r>
              <w:rPr>
                <w:rFonts w:ascii="Times New Roman" w:cs="Times New Roman" w:eastAsia="Times New Roman" w:hAnsi="Times New Roman"/>
                <w:sz w:val="18"/>
                <w:szCs w:val="18"/>
                <w:color w:val="auto"/>
                <w:w w:val="96"/>
              </w:rPr>
              <w:t>10.19</w:t>
            </w:r>
            <w:r>
              <w:rPr>
                <w:rFonts w:ascii="Times New Roman" w:cs="Times New Roman" w:eastAsia="Times New Roman" w:hAnsi="Times New Roman"/>
                <w:sz w:val="26"/>
                <w:szCs w:val="26"/>
                <w:color w:val="auto"/>
                <w:w w:val="96"/>
                <w:vertAlign w:val="superscript"/>
              </w:rPr>
              <w:t>**</w:t>
            </w:r>
          </w:p>
        </w:tc>
        <w:tc>
          <w:tcPr>
            <w:tcW w:w="220" w:type="dxa"/>
            <w:vAlign w:val="bottom"/>
          </w:tcPr>
          <w:p>
            <w:pPr>
              <w:spacing w:after="0"/>
              <w:rPr>
                <w:sz w:val="21"/>
                <w:szCs w:val="21"/>
                <w:color w:val="auto"/>
              </w:rPr>
            </w:pPr>
          </w:p>
        </w:tc>
        <w:tc>
          <w:tcPr>
            <w:tcW w:w="69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Offer Letter Agreement, dated as of July 10, 2017, by and between Opendoor Labs Inc. and</w:t>
              </w:r>
            </w:hyperlink>
          </w:p>
        </w:tc>
        <w:tc>
          <w:tcPr>
            <w:tcW w:w="36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gridSpan w:val="31"/>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Gautam Gupta (incorporated by reference to Exhibit 10.30 to Amendment No. 3 to the</w:t>
              </w:r>
            </w:hyperlink>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40" w:type="dxa"/>
            <w:vAlign w:val="bottom"/>
            <w:tcBorders>
              <w:top w:val="single" w:sz="8" w:color="0000EE"/>
            </w:tcBorders>
            <w:gridSpan w:val="13"/>
          </w:tcPr>
          <w:p>
            <w:pPr>
              <w:spacing w:after="0"/>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Registration Statement on Form S-4 (File No. 333-249302) filed November 27, 2020).</w:t>
              </w:r>
            </w:hyperlink>
          </w:p>
        </w:tc>
        <w:tc>
          <w:tcPr>
            <w:tcW w:w="74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10.20</w:t>
            </w:r>
            <w:r>
              <w:rPr>
                <w:rFonts w:ascii="Times New Roman" w:cs="Times New Roman" w:eastAsia="Times New Roman" w:hAnsi="Times New Roman"/>
                <w:sz w:val="26"/>
                <w:szCs w:val="26"/>
                <w:color w:val="auto"/>
                <w:w w:val="96"/>
                <w:vertAlign w:val="superscript"/>
              </w:rPr>
              <w:t>**</w:t>
            </w:r>
          </w:p>
        </w:tc>
        <w:tc>
          <w:tcPr>
            <w:tcW w:w="220" w:type="dxa"/>
            <w:vAlign w:val="bottom"/>
          </w:tcPr>
          <w:p>
            <w:pPr>
              <w:spacing w:after="0"/>
              <w:rPr>
                <w:sz w:val="19"/>
                <w:szCs w:val="19"/>
                <w:color w:val="auto"/>
              </w:rPr>
            </w:pPr>
          </w:p>
        </w:tc>
        <w:tc>
          <w:tcPr>
            <w:tcW w:w="7280" w:type="dxa"/>
            <w:vAlign w:val="bottom"/>
            <w:gridSpan w:val="31"/>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Offer Letter Agreement, dated as of January 9, 2017, by and between Opendoor Labs Inc. and</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Jason Child (incorporated by reference to Exhibit 10.31 to Amendment No. 3 to the</w:t>
              </w:r>
            </w:hyperlink>
          </w:p>
        </w:tc>
        <w:tc>
          <w:tcPr>
            <w:tcW w:w="760" w:type="dxa"/>
            <w:vAlign w:val="bottom"/>
            <w:tcBorders>
              <w:top w:val="single" w:sz="8" w:color="0000EE"/>
            </w:tcBorders>
            <w:gridSpan w:val="15"/>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80" w:type="dxa"/>
            <w:vAlign w:val="bottom"/>
            <w:gridSpan w:val="31"/>
          </w:tcPr>
          <w:p>
            <w:pPr>
              <w:spacing w:after="0"/>
              <w:rPr>
                <w:rFonts w:ascii="Times New Roman" w:cs="Times New Roman" w:eastAsia="Times New Roman" w:hAnsi="Times New Roman"/>
                <w:sz w:val="18"/>
                <w:szCs w:val="18"/>
                <w:u w:val="single" w:color="auto"/>
                <w:color w:val="0000EE"/>
              </w:rPr>
            </w:pPr>
            <w:hyperlink r:id="rId44">
              <w:r>
                <w:rPr>
                  <w:rFonts w:ascii="Times New Roman" w:cs="Times New Roman" w:eastAsia="Times New Roman" w:hAnsi="Times New Roman"/>
                  <w:sz w:val="18"/>
                  <w:szCs w:val="18"/>
                  <w:u w:val="single" w:color="auto"/>
                  <w:color w:val="0000EE"/>
                </w:rPr>
                <w:t>Registration Statement on Form S-4 (File No. 333-249302) filed November 27, 2020).</w:t>
              </w:r>
            </w:hyperlink>
          </w:p>
        </w:tc>
        <w:tc>
          <w:tcPr>
            <w:tcW w:w="0" w:type="dxa"/>
            <w:vAlign w:val="bottom"/>
          </w:tcPr>
          <w:p>
            <w:pPr>
              <w:spacing w:after="0"/>
              <w:rPr>
                <w:sz w:val="1"/>
                <w:szCs w:val="1"/>
                <w:color w:val="auto"/>
              </w:rPr>
            </w:pPr>
          </w:p>
        </w:tc>
      </w:tr>
      <w:tr>
        <w:trPr>
          <w:trHeight w:val="230"/>
        </w:trPr>
        <w:tc>
          <w:tcPr>
            <w:tcW w:w="70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10.21</w:t>
            </w:r>
            <w:r>
              <w:rPr>
                <w:rFonts w:ascii="Times New Roman" w:cs="Times New Roman" w:eastAsia="Times New Roman" w:hAnsi="Times New Roman"/>
                <w:sz w:val="26"/>
                <w:szCs w:val="26"/>
                <w:color w:val="auto"/>
                <w:w w:val="96"/>
                <w:vertAlign w:val="superscript"/>
              </w:rPr>
              <w:t>**</w:t>
            </w:r>
          </w:p>
        </w:tc>
        <w:tc>
          <w:tcPr>
            <w:tcW w:w="220" w:type="dxa"/>
            <w:vAlign w:val="bottom"/>
          </w:tcPr>
          <w:p>
            <w:pPr>
              <w:spacing w:after="0"/>
              <w:rPr>
                <w:sz w:val="19"/>
                <w:szCs w:val="19"/>
                <w:color w:val="auto"/>
              </w:rPr>
            </w:pPr>
          </w:p>
        </w:tc>
        <w:tc>
          <w:tcPr>
            <w:tcW w:w="7280" w:type="dxa"/>
            <w:vAlign w:val="bottom"/>
            <w:gridSpan w:val="31"/>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Offer Letter Agreement, dated as of September 3, 2020, by and between Opendoor Labs Inc.</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0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and Carrie Wheeler (incorporated by reference to Exhibit 10.32 to Amendment No. 3 to the</w:t>
              </w:r>
            </w:hyperlink>
          </w:p>
        </w:tc>
        <w:tc>
          <w:tcPr>
            <w:tcW w:w="80" w:type="dxa"/>
            <w:vAlign w:val="bottom"/>
            <w:tcBorders>
              <w:top w:val="single" w:sz="8" w:color="0000EE"/>
            </w:tcBorders>
            <w:gridSpan w:val="3"/>
          </w:tcPr>
          <w:p>
            <w:pPr>
              <w:spacing w:after="0"/>
              <w:rPr>
                <w:sz w:val="17"/>
                <w:szCs w:val="17"/>
                <w:color w:val="auto"/>
              </w:rPr>
            </w:pPr>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80" w:type="dxa"/>
            <w:vAlign w:val="bottom"/>
            <w:gridSpan w:val="31"/>
          </w:tcPr>
          <w:p>
            <w:pPr>
              <w:spacing w:after="0"/>
              <w:rPr>
                <w:rFonts w:ascii="Times New Roman" w:cs="Times New Roman" w:eastAsia="Times New Roman" w:hAnsi="Times New Roman"/>
                <w:sz w:val="18"/>
                <w:szCs w:val="18"/>
                <w:u w:val="single" w:color="auto"/>
                <w:color w:val="0000EE"/>
              </w:rPr>
            </w:pPr>
            <w:hyperlink r:id="rId45">
              <w:r>
                <w:rPr>
                  <w:rFonts w:ascii="Times New Roman" w:cs="Times New Roman" w:eastAsia="Times New Roman" w:hAnsi="Times New Roman"/>
                  <w:sz w:val="18"/>
                  <w:szCs w:val="18"/>
                  <w:u w:val="single" w:color="auto"/>
                  <w:color w:val="0000EE"/>
                </w:rPr>
                <w:t>Registration Statement on Form S-4 (File No. 333-249302) filed November 27,2020).</w:t>
              </w:r>
            </w:hyperlink>
          </w:p>
        </w:tc>
        <w:tc>
          <w:tcPr>
            <w:tcW w:w="0" w:type="dxa"/>
            <w:vAlign w:val="bottom"/>
          </w:tcPr>
          <w:p>
            <w:pPr>
              <w:spacing w:after="0"/>
              <w:rPr>
                <w:sz w:val="1"/>
                <w:szCs w:val="1"/>
                <w:color w:val="auto"/>
              </w:rPr>
            </w:pPr>
          </w:p>
        </w:tc>
      </w:tr>
      <w:tr>
        <w:trPr>
          <w:trHeight w:val="229"/>
        </w:trPr>
        <w:tc>
          <w:tcPr>
            <w:tcW w:w="70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10.22</w:t>
            </w:r>
            <w:r>
              <w:rPr>
                <w:rFonts w:ascii="Times New Roman" w:cs="Times New Roman" w:eastAsia="Times New Roman" w:hAnsi="Times New Roman"/>
                <w:sz w:val="26"/>
                <w:szCs w:val="26"/>
                <w:color w:val="auto"/>
                <w:w w:val="96"/>
                <w:vertAlign w:val="superscript"/>
              </w:rPr>
              <w:t>**</w:t>
            </w:r>
          </w:p>
        </w:tc>
        <w:tc>
          <w:tcPr>
            <w:tcW w:w="220" w:type="dxa"/>
            <w:vAlign w:val="bottom"/>
          </w:tcPr>
          <w:p>
            <w:pPr>
              <w:spacing w:after="0"/>
              <w:rPr>
                <w:sz w:val="19"/>
                <w:szCs w:val="19"/>
                <w:color w:val="auto"/>
              </w:rPr>
            </w:pPr>
          </w:p>
        </w:tc>
        <w:tc>
          <w:tcPr>
            <w:tcW w:w="72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Offer Letter Agreement, dated as of October 22, 2020, by and between Opendoor Labs Inc. and</w:t>
              </w:r>
            </w:hyperlink>
          </w:p>
        </w:tc>
        <w:tc>
          <w:tcPr>
            <w:tcW w:w="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gridSpan w:val="31"/>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Andrew Low Ah Kee (incorporated byreference to Exhibit 10.12 to the registrant’s Form 8-K</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filed with the SEC on December 18, 2020).</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jc w:val="center"/>
              <w:spacing w:after="0" w:line="270" w:lineRule="exact"/>
              <w:rPr>
                <w:sz w:val="20"/>
                <w:szCs w:val="20"/>
                <w:color w:val="auto"/>
              </w:rPr>
            </w:pPr>
            <w:r>
              <w:rPr>
                <w:rFonts w:ascii="Times New Roman" w:cs="Times New Roman" w:eastAsia="Times New Roman" w:hAnsi="Times New Roman"/>
                <w:sz w:val="18"/>
                <w:szCs w:val="18"/>
                <w:color w:val="auto"/>
                <w:w w:val="96"/>
              </w:rPr>
              <w:t>10.23</w:t>
            </w:r>
            <w:r>
              <w:rPr>
                <w:rFonts w:ascii="Times New Roman" w:cs="Times New Roman" w:eastAsia="Times New Roman" w:hAnsi="Times New Roman"/>
                <w:sz w:val="26"/>
                <w:szCs w:val="26"/>
                <w:color w:val="auto"/>
                <w:w w:val="96"/>
                <w:vertAlign w:val="superscript"/>
              </w:rPr>
              <w:t>**</w:t>
            </w: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66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69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Opendoor Technologies Inc. Non-Employee Director Compensation Policy (incorporated by</w:t>
              </w:r>
            </w:hyperlink>
          </w:p>
        </w:tc>
        <w:tc>
          <w:tcPr>
            <w:tcW w:w="32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gridSpan w:val="31"/>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reference to Exhibit 10.13 to the registrant’s Form 8-K filed with the SEC on December 18,</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2020).</w:t>
              </w:r>
            </w:hyperlink>
          </w:p>
        </w:tc>
        <w:tc>
          <w:tcPr>
            <w:tcW w:w="1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00" w:type="dxa"/>
            <w:vAlign w:val="bottom"/>
          </w:tcPr>
          <w:p>
            <w:pPr>
              <w:jc w:val="center"/>
              <w:spacing w:after="0" w:line="250" w:lineRule="exact"/>
              <w:rPr>
                <w:sz w:val="20"/>
                <w:szCs w:val="20"/>
                <w:color w:val="auto"/>
              </w:rPr>
            </w:pPr>
            <w:r>
              <w:rPr>
                <w:rFonts w:ascii="Times New Roman" w:cs="Times New Roman" w:eastAsia="Times New Roman" w:hAnsi="Times New Roman"/>
                <w:sz w:val="18"/>
                <w:szCs w:val="18"/>
                <w:color w:val="auto"/>
                <w:w w:val="96"/>
              </w:rPr>
              <w:t>10.24</w:t>
            </w:r>
            <w:r>
              <w:rPr>
                <w:rFonts w:ascii="Times New Roman" w:cs="Times New Roman" w:eastAsia="Times New Roman" w:hAnsi="Times New Roman"/>
                <w:sz w:val="26"/>
                <w:szCs w:val="26"/>
                <w:color w:val="auto"/>
                <w:w w:val="96"/>
                <w:vertAlign w:val="superscript"/>
              </w:rPr>
              <w:t>**</w:t>
            </w:r>
          </w:p>
        </w:tc>
        <w:tc>
          <w:tcPr>
            <w:tcW w:w="220" w:type="dxa"/>
            <w:vAlign w:val="bottom"/>
          </w:tcPr>
          <w:p>
            <w:pPr>
              <w:spacing w:after="0"/>
              <w:rPr>
                <w:sz w:val="21"/>
                <w:szCs w:val="21"/>
                <w:color w:val="auto"/>
              </w:rPr>
            </w:pPr>
          </w:p>
        </w:tc>
        <w:tc>
          <w:tcPr>
            <w:tcW w:w="7280" w:type="dxa"/>
            <w:vAlign w:val="bottom"/>
            <w:gridSpan w:val="31"/>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Offer Letter Agreement, dated as of December 20, 2016, by and between Opendoor Labs Inc.</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and Elizabeth Stevens.</w:t>
              </w:r>
            </w:hyperlink>
          </w:p>
        </w:tc>
        <w:tc>
          <w:tcPr>
            <w:tcW w:w="5320" w:type="dxa"/>
            <w:vAlign w:val="bottom"/>
            <w:tcBorders>
              <w:top w:val="single" w:sz="8" w:color="0000EE"/>
            </w:tcBorders>
            <w:gridSpan w:val="21"/>
          </w:tcPr>
          <w:p>
            <w:pPr>
              <w:spacing w:after="0"/>
              <w:rPr>
                <w:sz w:val="17"/>
                <w:szCs w:val="17"/>
                <w:color w:val="auto"/>
              </w:rPr>
            </w:pPr>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00" w:type="dxa"/>
            <w:vAlign w:val="bottom"/>
          </w:tcPr>
          <w:p>
            <w:pPr>
              <w:jc w:val="center"/>
              <w:spacing w:after="0" w:line="250" w:lineRule="exact"/>
              <w:rPr>
                <w:sz w:val="20"/>
                <w:szCs w:val="20"/>
                <w:color w:val="auto"/>
              </w:rPr>
            </w:pPr>
            <w:r>
              <w:rPr>
                <w:rFonts w:ascii="Times New Roman" w:cs="Times New Roman" w:eastAsia="Times New Roman" w:hAnsi="Times New Roman"/>
                <w:sz w:val="18"/>
                <w:szCs w:val="18"/>
                <w:color w:val="auto"/>
                <w:w w:val="96"/>
              </w:rPr>
              <w:t>10.25</w:t>
            </w:r>
            <w:r>
              <w:rPr>
                <w:rFonts w:ascii="Times New Roman" w:cs="Times New Roman" w:eastAsia="Times New Roman" w:hAnsi="Times New Roman"/>
                <w:sz w:val="26"/>
                <w:szCs w:val="26"/>
                <w:color w:val="auto"/>
                <w:w w:val="96"/>
                <w:vertAlign w:val="superscript"/>
              </w:rPr>
              <w:t>**</w:t>
            </w:r>
          </w:p>
        </w:tc>
        <w:tc>
          <w:tcPr>
            <w:tcW w:w="220" w:type="dxa"/>
            <w:vAlign w:val="bottom"/>
          </w:tcPr>
          <w:p>
            <w:pPr>
              <w:spacing w:after="0"/>
              <w:rPr>
                <w:sz w:val="21"/>
                <w:szCs w:val="21"/>
                <w:color w:val="auto"/>
              </w:rPr>
            </w:pPr>
          </w:p>
        </w:tc>
        <w:tc>
          <w:tcPr>
            <w:tcW w:w="71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Retention Bonus Agreement, dated as of September 26, 2019, by and between Opendoor Labs</w:t>
              </w:r>
            </w:hyperlink>
          </w:p>
        </w:tc>
        <w:tc>
          <w:tcPr>
            <w:tcW w:w="18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gridSpan w:val="31"/>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Inc. and Elizabeth Stevens.</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266065</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0" w:right="1440" w:bottom="1440" w:gutter="0" w:footer="0" w:header="0"/>
        </w:sectPr>
      </w:pPr>
    </w:p>
    <w:bookmarkStart w:id="5" w:name="page6"/>
    <w:bookmarkEnd w:id="5"/>
    <w:tbl>
      <w:tblPr>
        <w:tblLayout w:type="fixed"/>
        <w:tblInd w:w="400" w:type="dxa"/>
        <w:tblCellMar>
          <w:top w:w="0" w:type="dxa"/>
          <w:left w:w="0" w:type="dxa"/>
          <w:bottom w:w="0" w:type="dxa"/>
          <w:right w:w="0" w:type="dxa"/>
        </w:tblCellMar>
      </w:tblPr>
      <w:tr>
        <w:trPr>
          <w:trHeight w:val="19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60" w:type="dxa"/>
            <w:vAlign w:val="bottom"/>
          </w:tcPr>
          <w:p>
            <w:pPr>
              <w:spacing w:after="0"/>
              <w:rPr>
                <w:sz w:val="16"/>
                <w:szCs w:val="16"/>
                <w:color w:val="auto"/>
              </w:rPr>
            </w:pPr>
          </w:p>
        </w:tc>
        <w:tc>
          <w:tcPr>
            <w:tcW w:w="6420" w:type="dxa"/>
            <w:vAlign w:val="bottom"/>
            <w:gridSpan w:val="4"/>
          </w:tcPr>
          <w:p>
            <w:pPr>
              <w:ind w:left="2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7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100"/>
              <w:spacing w:after="0" w:line="196" w:lineRule="exact"/>
              <w:rPr>
                <w:sz w:val="20"/>
                <w:szCs w:val="20"/>
                <w:color w:val="auto"/>
              </w:rPr>
            </w:pPr>
            <w:r>
              <w:rPr>
                <w:rFonts w:ascii="Times New Roman" w:cs="Times New Roman" w:eastAsia="Times New Roman" w:hAnsi="Times New Roman"/>
                <w:sz w:val="16"/>
                <w:szCs w:val="16"/>
                <w:color w:val="auto"/>
              </w:rPr>
              <w:t>21.1</w:t>
            </w:r>
            <w:r>
              <w:rPr>
                <w:rFonts w:ascii="Times New Roman" w:cs="Times New Roman" w:eastAsia="Times New Roman" w:hAnsi="Times New Roman"/>
                <w:sz w:val="22"/>
                <w:szCs w:val="22"/>
                <w:color w:val="auto"/>
                <w:vertAlign w:val="superscript"/>
              </w:rPr>
              <w:t>**</w:t>
            </w:r>
          </w:p>
        </w:tc>
        <w:tc>
          <w:tcPr>
            <w:tcW w:w="220" w:type="dxa"/>
            <w:vAlign w:val="bottom"/>
            <w:vMerge w:val="continue"/>
          </w:tcPr>
          <w:p>
            <w:pPr>
              <w:spacing w:after="0"/>
              <w:rPr>
                <w:sz w:val="17"/>
                <w:szCs w:val="17"/>
                <w:color w:val="auto"/>
              </w:rPr>
            </w:pPr>
          </w:p>
        </w:tc>
        <w:tc>
          <w:tcPr>
            <w:tcW w:w="7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List of subsidiaries of Opendoor Technologies Inc. (incorporated by reference to Exhibit 21.1 to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the registrant’s Form 8-K filed with the SEC on December 18, 2020).</w:t>
              </w:r>
            </w:hyperlink>
          </w:p>
        </w:tc>
        <w:tc>
          <w:tcPr>
            <w:tcW w:w="20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700" w:type="dxa"/>
            <w:vAlign w:val="bottom"/>
          </w:tcPr>
          <w:p>
            <w:pPr>
              <w:ind w:left="100"/>
              <w:spacing w:after="0" w:line="291" w:lineRule="exact"/>
              <w:rPr>
                <w:sz w:val="20"/>
                <w:szCs w:val="20"/>
                <w:color w:val="auto"/>
              </w:rPr>
            </w:pPr>
            <w:r>
              <w:rPr>
                <w:rFonts w:ascii="Times New Roman" w:cs="Times New Roman" w:eastAsia="Times New Roman" w:hAnsi="Times New Roman"/>
                <w:sz w:val="18"/>
                <w:szCs w:val="18"/>
                <w:color w:val="auto"/>
              </w:rPr>
              <w:t>23.1</w:t>
            </w:r>
            <w:r>
              <w:rPr>
                <w:rFonts w:ascii="Times New Roman" w:cs="Times New Roman" w:eastAsia="Times New Roman" w:hAnsi="Times New Roman"/>
                <w:sz w:val="26"/>
                <w:szCs w:val="26"/>
                <w:color w:val="auto"/>
                <w:vertAlign w:val="superscript"/>
              </w:rPr>
              <w:t>**</w:t>
            </w:r>
          </w:p>
        </w:tc>
        <w:tc>
          <w:tcPr>
            <w:tcW w:w="220" w:type="dxa"/>
            <w:vAlign w:val="bottom"/>
          </w:tcPr>
          <w:p>
            <w:pPr>
              <w:spacing w:after="0"/>
              <w:rPr>
                <w:sz w:val="24"/>
                <w:szCs w:val="24"/>
                <w:color w:val="auto"/>
              </w:rPr>
            </w:pPr>
          </w:p>
        </w:tc>
        <w:tc>
          <w:tcPr>
            <w:tcW w:w="7280" w:type="dxa"/>
            <w:vAlign w:val="bottom"/>
            <w:gridSpan w:val="5"/>
          </w:tcPr>
          <w:p>
            <w:pPr>
              <w:spacing w:after="0"/>
              <w:rPr>
                <w:rFonts w:ascii="Times New Roman" w:cs="Times New Roman" w:eastAsia="Times New Roman" w:hAnsi="Times New Roman"/>
                <w:sz w:val="18"/>
                <w:szCs w:val="18"/>
                <w:u w:val="single" w:color="auto"/>
                <w:color w:val="0000EE"/>
              </w:rPr>
            </w:pPr>
            <w:hyperlink r:id="rId52">
              <w:r>
                <w:rPr>
                  <w:rFonts w:ascii="Times New Roman" w:cs="Times New Roman" w:eastAsia="Times New Roman" w:hAnsi="Times New Roman"/>
                  <w:sz w:val="18"/>
                  <w:szCs w:val="18"/>
                  <w:u w:val="single" w:color="auto"/>
                  <w:color w:val="0000EE"/>
                </w:rPr>
                <w:t>Consent of Marcum LLP.</w:t>
              </w:r>
            </w:hyperlink>
          </w:p>
        </w:tc>
        <w:tc>
          <w:tcPr>
            <w:tcW w:w="0" w:type="dxa"/>
            <w:vAlign w:val="bottom"/>
          </w:tcPr>
          <w:p>
            <w:pPr>
              <w:spacing w:after="0"/>
              <w:rPr>
                <w:sz w:val="1"/>
                <w:szCs w:val="1"/>
                <w:color w:val="auto"/>
              </w:rPr>
            </w:pPr>
          </w:p>
        </w:tc>
      </w:tr>
      <w:tr>
        <w:trPr>
          <w:trHeight w:val="305"/>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23.2</w:t>
            </w:r>
            <w:r>
              <w:rPr>
                <w:rFonts w:ascii="Times New Roman" w:cs="Times New Roman" w:eastAsia="Times New Roman" w:hAnsi="Times New Roman"/>
                <w:sz w:val="26"/>
                <w:szCs w:val="26"/>
                <w:color w:val="auto"/>
                <w:vertAlign w:val="superscript"/>
              </w:rPr>
              <w:t>**</w:t>
            </w:r>
          </w:p>
        </w:tc>
        <w:tc>
          <w:tcPr>
            <w:tcW w:w="220" w:type="dxa"/>
            <w:vAlign w:val="bottom"/>
          </w:tcPr>
          <w:p>
            <w:pPr>
              <w:spacing w:after="0"/>
              <w:rPr>
                <w:sz w:val="24"/>
                <w:szCs w:val="24"/>
                <w:color w:val="auto"/>
              </w:rPr>
            </w:pPr>
          </w:p>
        </w:tc>
        <w:tc>
          <w:tcPr>
            <w:tcW w:w="7280" w:type="dxa"/>
            <w:vAlign w:val="bottom"/>
            <w:gridSpan w:val="5"/>
          </w:tcPr>
          <w:p>
            <w:pPr>
              <w:spacing w:after="0"/>
              <w:rPr>
                <w:rFonts w:ascii="Times New Roman" w:cs="Times New Roman" w:eastAsia="Times New Roman" w:hAnsi="Times New Roman"/>
                <w:sz w:val="18"/>
                <w:szCs w:val="18"/>
                <w:u w:val="single" w:color="auto"/>
                <w:color w:val="0000EE"/>
              </w:rPr>
            </w:pPr>
            <w:hyperlink r:id="rId53">
              <w:r>
                <w:rPr>
                  <w:rFonts w:ascii="Times New Roman" w:cs="Times New Roman" w:eastAsia="Times New Roman" w:hAnsi="Times New Roman"/>
                  <w:sz w:val="18"/>
                  <w:szCs w:val="18"/>
                  <w:u w:val="single" w:color="auto"/>
                  <w:color w:val="0000EE"/>
                </w:rPr>
                <w:t>Consent of Deloitte &amp; Touche LLP.</w:t>
              </w:r>
            </w:hyperlink>
          </w:p>
        </w:tc>
        <w:tc>
          <w:tcPr>
            <w:tcW w:w="0" w:type="dxa"/>
            <w:vAlign w:val="bottom"/>
          </w:tcPr>
          <w:p>
            <w:pPr>
              <w:spacing w:after="0"/>
              <w:rPr>
                <w:sz w:val="1"/>
                <w:szCs w:val="1"/>
                <w:color w:val="auto"/>
              </w:rPr>
            </w:pPr>
          </w:p>
        </w:tc>
      </w:tr>
      <w:tr>
        <w:trPr>
          <w:trHeight w:val="234"/>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Pr>
          <w:p>
            <w:pPr>
              <w:spacing w:after="0"/>
              <w:rPr>
                <w:sz w:val="20"/>
                <w:szCs w:val="20"/>
                <w:color w:val="auto"/>
              </w:rPr>
            </w:pPr>
          </w:p>
        </w:tc>
        <w:tc>
          <w:tcPr>
            <w:tcW w:w="7280" w:type="dxa"/>
            <w:vAlign w:val="bottom"/>
            <w:gridSpan w:val="5"/>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Consent of Latham &amp; Watkins LLP (included as part of Exhibit 5.1).</w:t>
              </w:r>
            </w:hyperlink>
          </w:p>
        </w:tc>
        <w:tc>
          <w:tcPr>
            <w:tcW w:w="0" w:type="dxa"/>
            <w:vAlign w:val="bottom"/>
          </w:tcPr>
          <w:p>
            <w:pPr>
              <w:spacing w:after="0"/>
              <w:rPr>
                <w:sz w:val="1"/>
                <w:szCs w:val="1"/>
                <w:color w:val="auto"/>
              </w:rPr>
            </w:pPr>
          </w:p>
        </w:tc>
      </w:tr>
      <w:tr>
        <w:trPr>
          <w:trHeight w:val="202"/>
        </w:trPr>
        <w:tc>
          <w:tcPr>
            <w:tcW w:w="70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17"/>
                <w:szCs w:val="17"/>
                <w:color w:val="auto"/>
              </w:rPr>
            </w:pPr>
          </w:p>
        </w:tc>
        <w:tc>
          <w:tcPr>
            <w:tcW w:w="6480" w:type="dxa"/>
            <w:vAlign w:val="bottom"/>
            <w:tcBorders>
              <w:bottom w:val="single" w:sz="8" w:color="0000EE"/>
            </w:tcBorders>
            <w:gridSpan w:val="3"/>
          </w:tcPr>
          <w:p>
            <w:pPr>
              <w:spacing w:after="0" w:line="202"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Power of Attorney (included on signature page of the initial filing of this Registration</w:t>
              </w:r>
            </w:hyperlink>
          </w:p>
        </w:tc>
        <w:tc>
          <w:tcPr>
            <w:tcW w:w="8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Statement).</w:t>
              </w:r>
            </w:hyperlink>
          </w:p>
        </w:tc>
        <w:tc>
          <w:tcPr>
            <w:tcW w:w="64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154305</wp:posOffset>
            </wp:positionV>
            <wp:extent cx="1234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760" w:right="839" w:hanging="360"/>
        <w:spacing w:after="0" w:line="266"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41" w:lineRule="exact"/>
        <w:rPr>
          <w:sz w:val="20"/>
          <w:szCs w:val="20"/>
          <w:color w:val="auto"/>
        </w:rPr>
      </w:pPr>
    </w:p>
    <w:p>
      <w:pPr>
        <w:ind w:left="400"/>
        <w:spacing w:after="0"/>
        <w:tabs>
          <w:tab w:leader="none" w:pos="740" w:val="left"/>
        </w:tabs>
        <w:rPr>
          <w:sz w:val="20"/>
          <w:szCs w:val="20"/>
          <w:color w:val="auto"/>
        </w:rPr>
      </w:pPr>
      <w:r>
        <w:rPr>
          <w:rFonts w:ascii="Times New Roman" w:cs="Times New Roman" w:eastAsia="Times New Roman" w:hAnsi="Times New Roman"/>
          <w:sz w:val="18"/>
          <w:szCs w:val="18"/>
          <w:color w:val="auto"/>
        </w:rPr>
        <w:t>**</w:t>
        <w:tab/>
        <w:t>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266065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00" w:right="939" w:firstLine="3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the City of San Francisco, State of California, on January 14, 2021.</w:t>
      </w:r>
    </w:p>
    <w:p>
      <w:pPr>
        <w:spacing w:after="0" w:line="19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51" w:lineRule="exact"/>
        <w:rPr>
          <w:sz w:val="20"/>
          <w:szCs w:val="20"/>
          <w:color w:val="auto"/>
        </w:rPr>
      </w:pPr>
    </w:p>
    <w:p>
      <w:pPr>
        <w:ind w:left="3940"/>
        <w:spacing w:after="0"/>
        <w:tabs>
          <w:tab w:leader="none" w:pos="4420" w:val="left"/>
        </w:tabs>
        <w:rPr>
          <w:sz w:val="20"/>
          <w:szCs w:val="20"/>
          <w:color w:val="auto"/>
        </w:rPr>
      </w:pPr>
      <w:r>
        <w:rPr>
          <w:rFonts w:ascii="Times New Roman" w:cs="Times New Roman" w:eastAsia="Times New Roman" w:hAnsi="Times New Roman"/>
          <w:sz w:val="18"/>
          <w:szCs w:val="18"/>
          <w:color w:val="auto"/>
        </w:rPr>
        <w:t>By:</w:t>
        <w:tab/>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34290</wp:posOffset>
            </wp:positionV>
            <wp:extent cx="26060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24" w:lineRule="exact"/>
        <w:rPr>
          <w:sz w:val="20"/>
          <w:szCs w:val="20"/>
          <w:color w:val="auto"/>
        </w:rPr>
      </w:pPr>
    </w:p>
    <w:p>
      <w:pPr>
        <w:ind w:left="4440"/>
        <w:spacing w:after="0"/>
        <w:tabs>
          <w:tab w:leader="none" w:pos="5140" w:val="left"/>
        </w:tabs>
        <w:rPr>
          <w:sz w:val="20"/>
          <w:szCs w:val="20"/>
          <w:color w:val="auto"/>
        </w:rPr>
      </w:pPr>
      <w:r>
        <w:rPr>
          <w:rFonts w:ascii="Times New Roman" w:cs="Times New Roman" w:eastAsia="Times New Roman" w:hAnsi="Times New Roman"/>
          <w:sz w:val="18"/>
          <w:szCs w:val="18"/>
          <w:color w:val="auto"/>
        </w:rPr>
        <w:t>Name:</w:t>
        <w:tab/>
        <w:t>Carrie Wheeler</w:t>
      </w:r>
    </w:p>
    <w:p>
      <w:pPr>
        <w:spacing w:after="0" w:line="16" w:lineRule="exact"/>
        <w:rPr>
          <w:sz w:val="20"/>
          <w:szCs w:val="20"/>
          <w:color w:val="auto"/>
        </w:rPr>
      </w:pPr>
    </w:p>
    <w:p>
      <w:pPr>
        <w:ind w:left="4440"/>
        <w:spacing w:after="0"/>
        <w:tabs>
          <w:tab w:leader="none" w:pos="5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pacing w:after="0" w:line="111" w:lineRule="exact"/>
        <w:rPr>
          <w:sz w:val="20"/>
          <w:szCs w:val="20"/>
          <w:color w:val="auto"/>
        </w:rPr>
      </w:pPr>
    </w:p>
    <w:p>
      <w:pPr>
        <w:ind w:left="400" w:right="69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January 14, 2021.</w:t>
      </w:r>
    </w:p>
    <w:p>
      <w:pPr>
        <w:sectPr>
          <w:pgSz w:w="11900" w:h="16838" w:orient="portrait"/>
          <w:cols w:equalWidth="0" w:num="1">
            <w:col w:w="9019"/>
          </w:cols>
          <w:pgMar w:left="1440" w:top="1103" w:right="1440" w:bottom="1440" w:gutter="0" w:footer="0" w:header="0"/>
        </w:sectPr>
      </w:pPr>
    </w:p>
    <w:p>
      <w:pPr>
        <w:spacing w:after="0" w:line="101"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127635</wp:posOffset>
            </wp:positionV>
            <wp:extent cx="25546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51435</wp:posOffset>
            </wp:positionV>
            <wp:extent cx="25374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Eric Wu</w:t>
      </w:r>
    </w:p>
    <w:p>
      <w:pPr>
        <w:spacing w:after="0" w:line="117" w:lineRule="exact"/>
        <w:rPr>
          <w:sz w:val="20"/>
          <w:szCs w:val="20"/>
          <w:color w:val="auto"/>
        </w:rPr>
      </w:pPr>
    </w:p>
    <w:p>
      <w:pPr>
        <w:jc w:val="right"/>
        <w:ind w:right="800"/>
        <w:spacing w:after="0"/>
        <w:rPr>
          <w:sz w:val="20"/>
          <w:szCs w:val="20"/>
          <w:color w:val="auto"/>
        </w:rPr>
      </w:pPr>
      <w:r>
        <w:rPr>
          <w:rFonts w:ascii="Times New Roman" w:cs="Times New Roman" w:eastAsia="Times New Roman" w:hAnsi="Times New Roman"/>
          <w:sz w:val="18"/>
          <w:szCs w:val="18"/>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51435</wp:posOffset>
            </wp:positionV>
            <wp:extent cx="25374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Carrie Wheeler</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51435</wp:posOffset>
            </wp:positionV>
            <wp:extent cx="25374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Adam Bain</w:t>
      </w:r>
    </w:p>
    <w:p>
      <w:pPr>
        <w:spacing w:after="0" w:line="3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51435</wp:posOffset>
            </wp:positionV>
            <wp:extent cx="25374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8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Cipora Herman</w:t>
      </w:r>
    </w:p>
    <w:p>
      <w:pPr>
        <w:spacing w:after="0" w:line="3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51435</wp:posOffset>
            </wp:positionV>
            <wp:extent cx="25374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Jonathan Jaffe</w:t>
      </w:r>
    </w:p>
    <w:p>
      <w:pPr>
        <w:spacing w:after="0" w:line="3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51435</wp:posOffset>
            </wp:positionV>
            <wp:extent cx="25374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Pueo Keffer</w:t>
      </w:r>
    </w:p>
    <w:p>
      <w:pPr>
        <w:spacing w:after="0" w:line="3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51435</wp:posOffset>
            </wp:positionV>
            <wp:extent cx="25374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5">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8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Jason Kilar</w:t>
      </w:r>
    </w:p>
    <w:p>
      <w:pPr>
        <w:spacing w:after="0" w:line="3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51435</wp:posOffset>
            </wp:positionV>
            <wp:extent cx="25374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8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Glenn Solomon</w:t>
      </w:r>
    </w:p>
    <w:p>
      <w:pPr>
        <w:spacing w:after="0" w:line="27" w:lineRule="exact"/>
        <w:rPr>
          <w:sz w:val="20"/>
          <w:szCs w:val="20"/>
          <w:color w:val="auto"/>
        </w:rPr>
      </w:pPr>
    </w:p>
    <w:p>
      <w:pPr>
        <w:ind w:left="420"/>
        <w:spacing w:after="0"/>
        <w:tabs>
          <w:tab w:leader="none" w:pos="760" w:val="left"/>
        </w:tabs>
        <w:rPr>
          <w:sz w:val="20"/>
          <w:szCs w:val="20"/>
          <w:color w:val="auto"/>
        </w:rPr>
      </w:pPr>
      <w:r>
        <w:rPr>
          <w:rFonts w:ascii="Times New Roman" w:cs="Times New Roman" w:eastAsia="Times New Roman" w:hAnsi="Times New Roman"/>
          <w:sz w:val="18"/>
          <w:szCs w:val="18"/>
          <w:color w:val="auto"/>
        </w:rPr>
        <w:t>By</w:t>
        <w:tab/>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23056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Carrie Wheeler</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25374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3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Chairman, Director and Chief Executive Officer</w:t>
      </w:r>
    </w:p>
    <w:p>
      <w:pPr>
        <w:spacing w:after="0" w:line="2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8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spacing w:after="0"/>
        <w:tabs>
          <w:tab w:leader="none" w:pos="980" w:val="left"/>
          <w:tab w:leader="none" w:pos="1940" w:val="left"/>
          <w:tab w:leader="none" w:pos="2740" w:val="left"/>
          <w:tab w:leader="none" w:pos="3260" w:val="left"/>
        </w:tabs>
        <w:rPr>
          <w:sz w:val="20"/>
          <w:szCs w:val="20"/>
          <w:color w:val="auto"/>
        </w:rPr>
      </w:pPr>
      <w:r>
        <w:rPr>
          <w:rFonts w:ascii="Times New Roman" w:cs="Times New Roman" w:eastAsia="Times New Roman" w:hAnsi="Times New Roman"/>
          <w:sz w:val="18"/>
          <w:szCs w:val="18"/>
          <w:color w:val="auto"/>
        </w:rPr>
        <w:t>(Principal</w:t>
        <w:tab/>
        <w:t>Financial</w:t>
        <w:tab/>
        <w:t>Officer</w:t>
        <w:tab/>
        <w:t>and</w:t>
        <w:tab/>
        <w:t>Principal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16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Director</w:t>
      </w:r>
    </w:p>
    <w:p>
      <w:pPr>
        <w:spacing w:after="0" w:line="1109" w:lineRule="exact"/>
        <w:rPr>
          <w:sz w:val="20"/>
          <w:szCs w:val="20"/>
          <w:color w:val="auto"/>
        </w:rPr>
      </w:pPr>
    </w:p>
    <w:p>
      <w:pPr>
        <w:sectPr>
          <w:pgSz w:w="11900" w:h="16838" w:orient="portrait"/>
          <w:cols w:equalWidth="0" w:num="2">
            <w:col w:w="3900" w:space="720"/>
            <w:col w:w="4399"/>
          </w:cols>
          <w:pgMar w:left="1440" w:top="1103" w:right="1440" w:bottom="1440" w:gutter="0" w:footer="0" w:header="0"/>
          <w:type w:val="continuous"/>
        </w:sectPr>
      </w:pP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266065</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23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950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6"/>
        </w:trPr>
        <w:tc>
          <w:tcPr>
            <w:tcW w:w="98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 Corporate Offices</w:t>
            </w:r>
          </w:p>
        </w:tc>
        <w:tc>
          <w:tcPr>
            <w:tcW w:w="40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Registered Office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1.2</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Offices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32"/>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 Meetings of Stockholders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Place of Meetings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2.2</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Annual Meeting</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2.3</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 Meeting</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2.4</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 of Business to be Brought before a Meeting.</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2.5</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 of Nominations for Election to the Board of Directors.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2.6</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Requirements for Valid Nomination of Candidates to Serve as Director and, if Elected, to be Seated as Directors.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2.7</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2.8</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Quorum</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2.9</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Adjourned Meeting; Notice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2.10</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Business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2.11</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Voting</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2.12</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Record Date for Stockholder Meetings and Other Purposes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2.13</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Proxies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2.14</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2.15</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Inspectors of Election</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2.16</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Delivery to the Corporation.</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32"/>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 Directors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1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Powers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Number of Directors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3.3</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3.4</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3.5</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3.6</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Regular Meetings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3.7</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 Meetings; Notice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3.8</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Quorum</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3.9</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Action without a Meeting</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3.10</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Fees and Compensation of Directors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432"/>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 Committees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41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Committees of Directors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Meetings and Actions of Committees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4.3</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Subcommittees.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432"/>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 Officers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41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5.2</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Appointment of Officers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5.3</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Subordinate Officers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5.4</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5.5</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Vacancies in Offices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5.6</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Representation of Shares of Other Corporations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5.7</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5.8</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 Records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 General Matters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7.2</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Certificates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7.3</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 Designation of Certificates.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7.4</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Lost Certificates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7.5</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Without Certificates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7.6</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Construction; Definitions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7.7</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7.8</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7.9</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Seal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7.10</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 of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7.11</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7.12</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Lock-Up.</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7.13</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Registered Stockholders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7.14</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 of Notice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 Notice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Delivery of Notice; Notice by Electronic Transmission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 Indemnification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Power to Indemnify in Actions, Suits or Proceedings other than Those by or in the Right of the Corporation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9.2</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Power to Indemnify in Actions, Suits or Proceedings by or in the Right of the Corporation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9.3</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Authorization of Indemnification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9.4</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 Faith Defined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9.5</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 by a Court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9.6</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 Payable in Advance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9.7</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Nonexclusivity of Indemnification and Advancement of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9.8</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9.9</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Definitions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9.10</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Survival of Indemnification and Advancement of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9.11</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Limitation on Indemnification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9.12</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 of Employees and Agents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9.13</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Primacy of Indemnification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 Amendments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 Definitions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142875</wp:posOffset>
            </wp:positionV>
            <wp:extent cx="219456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3">
                      <a:extLst>
                        <a:ext uri="{28A0092B-C50C-407E-A947-70E740481C1C}"/>
                      </a:extLst>
                    </a:blip>
                    <a:srcRect/>
                    <a:stretch>
                      <a:fillRect/>
                    </a:stretch>
                  </pic:blipFill>
                  <pic:spPr bwMode="auto">
                    <a:xfrm>
                      <a:off x="0" y="0"/>
                      <a:ext cx="2194560" cy="2540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229"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Registered Office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Opendoor Technologies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u w:val="single" w:color="auto"/>
          <w:color w:val="auto"/>
        </w:rPr>
        <w:t>Other Offices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Corporation may have additional offices at any place or places, within or outside the State of Delaware, as the Corporation’s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establish or as the business of the Corporation may require.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29"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Place of Meetings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w:t>
      </w:r>
    </w:p>
    <w:p>
      <w:pPr>
        <w:spacing w:after="0" w:line="180"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Annual Meeting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shall designate the date and time of the annual meeting. At the annual meeting, directors shall be elected and other proper business properly brought before the meeting in accordance with Section 2.4 of these bylaws may be transacted. The Board may postpone, reschedule or cancel any previously scheduled annual meeting of stockholders.</w:t>
      </w:r>
    </w:p>
    <w:p>
      <w:pPr>
        <w:spacing w:after="0" w:line="176"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Special Meeting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postponed, rescheduled or cancelled only by such persons and only in such manner as set forth in the Certificate of Incorporation.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business may be transacted at any special meeting of stockholders other than the business specified in the notice of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Notice of Business to be Brought before a Meeting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72" w:lineRule="auto"/>
        <w:tabs>
          <w:tab w:leader="none" w:pos="2271"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Board of Directors, (ii) if not specified in a notice of meeting, otherwise brought before the meeting by the Board of Directors or the Chairperson of the Board or</w:t>
      </w:r>
    </w:p>
    <w:p>
      <w:pPr>
        <w:spacing w:after="0" w:line="1" w:lineRule="exact"/>
        <w:rPr>
          <w:rFonts w:ascii="Times New Roman" w:cs="Times New Roman" w:eastAsia="Times New Roman" w:hAnsi="Times New Roman"/>
          <w:sz w:val="17"/>
          <w:szCs w:val="17"/>
          <w:color w:val="auto"/>
        </w:rPr>
      </w:pPr>
    </w:p>
    <w:p>
      <w:pPr>
        <w:jc w:val="both"/>
        <w:ind w:firstLine="8"/>
        <w:spacing w:after="0" w:line="250" w:lineRule="auto"/>
        <w:tabs>
          <w:tab w:leader="none" w:pos="3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the meeting by a stockholder present in person who (A) (1) was a record owner of shares of the Corporation both at the time of giving the notice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foregoing clause</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the exclusive means for a stockholder to propose business to be brought before an annual meeting of the stockholders. For purposes of this Section 2.4, “present in person” shall mean that the stockholder proposing that the business be brought before the annual meeting of the Corporation, or a qualified representative of such proposing stockholder, appear at such annual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of Directors must comply with Section 2.5 and Section 2.6 and this Section 2.4 shall not be applicable to nominations except as expressly provided in Section 2.5 and Section 2.6.</w:t>
      </w:r>
    </w:p>
    <w:p>
      <w:pPr>
        <w:spacing w:after="0" w:line="193" w:lineRule="exact"/>
        <w:rPr>
          <w:rFonts w:ascii="Times New Roman" w:cs="Times New Roman" w:eastAsia="Times New Roman" w:hAnsi="Times New Roman"/>
          <w:sz w:val="18"/>
          <w:szCs w:val="18"/>
          <w:color w:val="auto"/>
        </w:rPr>
      </w:pPr>
    </w:p>
    <w:p>
      <w:pPr>
        <w:ind w:left="2300" w:hanging="996"/>
        <w:spacing w:after="0"/>
        <w:tabs>
          <w:tab w:leader="none" w:pos="2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for business to be properly brought before an annual meeting by a stockholder, the stockholder must</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at, the principal executive offices of the Corporation not less than 90 days nor more than 120 days prior to the one-year anniversary of the preceding year’s annual meeting (which, in the case of the first annual meeting of stockholders following the Effective Time (as defined in the Corporation’s Certification of Incorporation), the date of the preceding year’s annual meeting shall be deemed to be May 13, 2020); provided, however, that if the date of the annual meeting is more than 30 days before or more than 60 days after such anniversary date, notice by the stockholder to be timely must be so delivered, or mailed and received, not later than the 90th day prior to such annual meeting or, if later, the 10th day following the day on which public disclosure of the date of such annual meeting was first made by the Corporation (such notice within such time periods,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In no event shall any adjournment or postponement of an annual meeting or the announcement thereof commence a new time period for the giving of Timely Notice as described above.</w:t>
      </w:r>
    </w:p>
    <w:p>
      <w:pPr>
        <w:spacing w:after="0" w:line="192" w:lineRule="exact"/>
        <w:rPr>
          <w:rFonts w:ascii="Times New Roman" w:cs="Times New Roman" w:eastAsia="Times New Roman" w:hAnsi="Times New Roman"/>
          <w:sz w:val="18"/>
          <w:szCs w:val="18"/>
          <w:color w:val="auto"/>
        </w:rPr>
      </w:pPr>
    </w:p>
    <w:p>
      <w:pPr>
        <w:ind w:left="2160" w:hanging="856"/>
        <w:spacing w:after="0"/>
        <w:tabs>
          <w:tab w:leader="none" w:pos="2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2.4, a stockholder’s notice to the Secretary shall set forth:</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935"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(as defined below), (1) the name and address of such Proposing Person (including, if applicable, the name and address that appear on the Corporation’s books and records); and (2)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(1) and (2) are referred to as “</w:t>
      </w:r>
      <w:r>
        <w:rPr>
          <w:rFonts w:ascii="Times New Roman" w:cs="Times New Roman" w:eastAsia="Times New Roman" w:hAnsi="Times New Roman"/>
          <w:sz w:val="18"/>
          <w:szCs w:val="18"/>
          <w:u w:val="single" w:color="auto"/>
          <w:color w:val="auto"/>
        </w:rPr>
        <w:t>Stockholder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left="180" w:firstLine="652"/>
        <w:spacing w:after="0" w:line="251" w:lineRule="auto"/>
        <w:tabs>
          <w:tab w:leader="none" w:pos="181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(1)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Times New Roman" w:cs="Times New Roman" w:eastAsia="Times New Roman" w:hAnsi="Times New Roman"/>
          <w:sz w:val="18"/>
          <w:szCs w:val="18"/>
          <w:u w:val="single" w:color="auto"/>
          <w:color w:val="auto"/>
        </w:rPr>
        <w:t>Synthetic Equity Position</w:t>
      </w:r>
      <w:r>
        <w:rPr>
          <w:rFonts w:ascii="Times New Roman" w:cs="Times New Roman" w:eastAsia="Times New Roman" w:hAnsi="Times New Roman"/>
          <w:sz w:val="18"/>
          <w:szCs w:val="18"/>
          <w:color w:val="auto"/>
        </w:rPr>
        <w:t>”) and that is, directly or indirectly, held or maintained by such Proposing Person with respect to any shares of any class or series of shares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(2) any rights to dividends on the shares of any class or series of shares of the Corporation owned beneficially by such Proposing Person that are separated or separable from the underlying shares of the Corporation,</w:t>
      </w:r>
    </w:p>
    <w:p>
      <w:pPr>
        <w:spacing w:after="0" w:line="11" w:lineRule="exact"/>
        <w:rPr>
          <w:rFonts w:ascii="Times New Roman" w:cs="Times New Roman" w:eastAsia="Times New Roman" w:hAnsi="Times New Roman"/>
          <w:sz w:val="18"/>
          <w:szCs w:val="18"/>
          <w:color w:val="auto"/>
        </w:rPr>
      </w:pPr>
    </w:p>
    <w:p>
      <w:pPr>
        <w:jc w:val="both"/>
        <w:ind w:left="180" w:firstLine="4"/>
        <w:spacing w:after="0" w:line="251" w:lineRule="auto"/>
        <w:tabs>
          <w:tab w:leader="none" w:pos="4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pending or threatened legal proceeding in which such Proposing Person is a party or material participant involving the Corporation or any of its officers or directors, or any affiliate of the Corporation, (4) any other material relationship between such Proposing Person, on the one hand, and the Corporation, any affiliate of the Corporation, on the other hand, (5) any direct or indirect material interest in any material contract or agreement of such Proposing Person with the Corporation or any affiliate of the Corporation (including, in any such case, any employment agreement, collective bargaining agreement or consulting agreement), (6)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and (7)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(1) through (7) are referred to as “</w:t>
      </w:r>
      <w:r>
        <w:rPr>
          <w:rFonts w:ascii="Times New Roman" w:cs="Times New Roman" w:eastAsia="Times New Roman" w:hAnsi="Times New Roman"/>
          <w:sz w:val="18"/>
          <w:szCs w:val="18"/>
          <w:u w:val="single" w:color="auto"/>
          <w:color w:val="auto"/>
        </w:rPr>
        <w:t>Disclosable Interests</w:t>
      </w:r>
      <w:r>
        <w:rPr>
          <w:rFonts w:ascii="Times New Roman" w:cs="Times New Roman" w:eastAsia="Times New Roman" w:hAnsi="Times New Roman"/>
          <w:sz w:val="18"/>
          <w:szCs w:val="18"/>
          <w:color w:val="auto"/>
        </w:rPr>
        <w:t>”);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200" w:lineRule="exact"/>
        <w:rPr>
          <w:sz w:val="20"/>
          <w:szCs w:val="20"/>
          <w:color w:val="auto"/>
        </w:rPr>
      </w:pP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0" w:right="339" w:bottom="1440" w:gutter="0" w:footer="0" w:header="0"/>
        </w:sectPr>
      </w:pPr>
    </w:p>
    <w:bookmarkStart w:id="13" w:name="page14"/>
    <w:bookmarkEnd w:id="13"/>
    <w:p>
      <w:pPr>
        <w:jc w:val="both"/>
        <w:ind w:left="1300" w:firstLine="652"/>
        <w:spacing w:after="0" w:line="253" w:lineRule="auto"/>
        <w:tabs>
          <w:tab w:leader="none" w:pos="28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item of business that the stockholder proposes to bring before the annual meeting, (1) a brief description of the business desired to be brought before the annual meeting, the reasons for conducting such business at the annual meeting and any material interest in such business of each Proposing Person, (2) the text of the proposal or business (including the text of any resolutions proposed for consideration and in the event that such business includes a proposal to amend the bylaws of the Corporation, the language of the proposed amendment), and (3) a reasonably detailed description of all agreements, arrangements and understandings (x) between or among any of the Proposing Persons or (y) between or among any Proposing Person and any other record or beneficial holder(s) or persons(s) who have a right to acquire beneficial ownership at any time in the future of the shares of any class or series of the Corporation or any other person or entity (including their names) in connection with the proposal of such business by such stockholder; and (4)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provided, however,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87" w:lineRule="exact"/>
        <w:rPr>
          <w:sz w:val="20"/>
          <w:szCs w:val="20"/>
          <w:color w:val="auto"/>
        </w:rPr>
      </w:pPr>
    </w:p>
    <w:p>
      <w:pPr>
        <w:jc w:val="both"/>
        <w:ind w:firstLine="729"/>
        <w:spacing w:after="0" w:line="261" w:lineRule="auto"/>
        <w:rPr>
          <w:sz w:val="20"/>
          <w:szCs w:val="20"/>
          <w:color w:val="auto"/>
        </w:rPr>
      </w:pPr>
      <w:r>
        <w:rPr>
          <w:rFonts w:ascii="Times New Roman" w:cs="Times New Roman" w:eastAsia="Times New Roman" w:hAnsi="Times New Roman"/>
          <w:sz w:val="18"/>
          <w:szCs w:val="18"/>
          <w:color w:val="auto"/>
        </w:rPr>
        <w:t>For purposes of this Section 2.4,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80" w:lineRule="exact"/>
        <w:rPr>
          <w:sz w:val="20"/>
          <w:szCs w:val="20"/>
          <w:color w:val="auto"/>
        </w:rPr>
      </w:pPr>
    </w:p>
    <w:p>
      <w:pPr>
        <w:jc w:val="both"/>
        <w:ind w:firstLine="1304"/>
        <w:spacing w:after="0" w:line="253" w:lineRule="auto"/>
        <w:tabs>
          <w:tab w:leader="none" w:pos="22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10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3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shall be conducted at an annual meeting that is not properly brought before the meeting in accordance with this Section 2.4. The presiding officer of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304"/>
        <w:spacing w:after="0" w:line="258" w:lineRule="auto"/>
        <w:tabs>
          <w:tab w:leader="none" w:pos="25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3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disclosure” shall mean disclosure in a press release reported by a national news service, in a document publicly filed by the Corporation with the Securities and Exchange Commission pursuant to Sections 13, 14 or 15(d) of the Exchange Act or by such other means as is reasonably designed to inform the public or securityholders of the Corporation in general of such information including, without limitation, posting on the Corporation’s investor relations website.</w:t>
      </w:r>
    </w:p>
    <w:p>
      <w:pPr>
        <w:spacing w:after="0" w:line="180"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Notice of Nominations for Election to the 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24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in all respects to the provisions of the Certificate of Incorporation, 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(x) by or at the direction of the Board of Directors, including by any committee or persons authorized to do so by the Board of Directors or these bylaws, or (y) by a stockholder present in person (A) who was a record owner of shares of the Corporation both at the time of giving the notice provided for in this Section 2.5 and at the time of the meeting, (B) is entitled to vote at the meeting, and (C) has complied with this Section 2.5 and Section 2.6 as to such notice and nomination. For purposes of this Section 2.5, “present in person” shall mean that the stockholder proposing that the business be brought before the meeting of the Corporation, or a qualified representative of such stockholder, appear at such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(y) shall be the exclusive means for a stockholder to make any nomination of a person or persons for election to the Board of Directors at an annual meeting or special meeting.</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for a stockholder to make any nomination of a person or persons for election to the Board of Directors at an annual meeting, the stockholder must (1) provide Timely Notice (as defined in Section 2.4) thereof in writing and in proper form to the Secretary of the Corporation, (2) provide the information, agreements and questionnaires with respect to such stockholder and its candidate for nomination as required to be set forth by this Section 2.5 and Section 2.6 and (3) provide any updates or supplements to such notice at the times and in the forms required by this Section 2.5 and Section 2.6.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left="180" w:firstLine="652"/>
        <w:spacing w:after="0" w:line="253" w:lineRule="auto"/>
        <w:tabs>
          <w:tab w:leader="none" w:pos="18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if the election of directors is a matter specified in the notice of meeting given by or at the direction of the person calling a special meeting in accordance with the Certificate of Incorporation, then for a stockholder to make any nomination of a person or persons for election to the Board of Directors at a special meeting, the stockholder must (i) provide timely notice thereof in writing and in proper form to the Secretary of the Corporation at the principal executive offices of the Corporation, (ii) provide the information with respect to such stockholder and its candidate for nomination as required by this Section 2.5 and Section 2.6 and (iii)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120th day prior to such special meeting and not later than the 90th day prior to such special meeting or, if later, the 10th day following the day on which public disclosure (as defined in Section 2.4) of the date of such special meeting was first made.</w:t>
      </w:r>
    </w:p>
    <w:p>
      <w:pPr>
        <w:spacing w:after="0" w:line="194" w:lineRule="exact"/>
        <w:rPr>
          <w:rFonts w:ascii="Times New Roman" w:cs="Times New Roman" w:eastAsia="Times New Roman" w:hAnsi="Times New Roman"/>
          <w:sz w:val="18"/>
          <w:szCs w:val="18"/>
          <w:color w:val="auto"/>
        </w:rPr>
      </w:pPr>
    </w:p>
    <w:p>
      <w:pPr>
        <w:ind w:left="180" w:firstLine="652"/>
        <w:spacing w:after="0" w:line="282" w:lineRule="auto"/>
        <w:tabs>
          <w:tab w:leader="none" w:pos="183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or postponement of an annual meeting or special meeting or the announcement thereof commence a new time period for the giving of a stockholder’s notice as described above.</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7" w:lineRule="auto"/>
        <w:tabs>
          <w:tab w:leader="none" w:pos="212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 Nominating Person provide Timely Notice with respect to a greater number of director candidates than are subject to election by shareholders at the applicable meeting. If the Corporation shall, subsequent to such notice, increase the number of directors subject to election at the meeting, such notice as to any additional nominees shall be due on the later of</w:t>
      </w:r>
    </w:p>
    <w:p>
      <w:pPr>
        <w:spacing w:after="0" w:line="1" w:lineRule="exact"/>
        <w:rPr>
          <w:rFonts w:ascii="Times New Roman" w:cs="Times New Roman" w:eastAsia="Times New Roman" w:hAnsi="Times New Roman"/>
          <w:sz w:val="18"/>
          <w:szCs w:val="18"/>
          <w:color w:val="auto"/>
        </w:rPr>
      </w:pPr>
    </w:p>
    <w:p>
      <w:pPr>
        <w:ind w:left="180" w:firstLine="4"/>
        <w:spacing w:after="0" w:line="260" w:lineRule="auto"/>
        <w:tabs>
          <w:tab w:leader="none" w:pos="39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time period for Timely Notice, (ii) the date set forth in Section 2.5(ii)(b), or (iii) the tenth day following the date of public disclosure (as defined in Section 2.4) of such increase.</w:t>
      </w:r>
    </w:p>
    <w:p>
      <w:pPr>
        <w:spacing w:after="0" w:line="181" w:lineRule="exact"/>
        <w:rPr>
          <w:sz w:val="20"/>
          <w:szCs w:val="20"/>
          <w:color w:val="auto"/>
        </w:rPr>
      </w:pPr>
    </w:p>
    <w:p>
      <w:pPr>
        <w:ind w:left="1040" w:hanging="856"/>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2.5, a stockholder’s notice to the Secretary shall set forth:</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88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(as defined below), the Stockholder Information (as defined in Section 2.4(iii)(a), except that for purposes of this Section 2.5 the term “Nominating Person” shall be substituted for the term “Proposing Person” in all places it appears in Section 2.4(iii)(a));</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79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any Disclosable Interests (as defined in Section 2.4(iii)(b), except that for purposes of this Section 2.5 the term “Nominating Person” shall be substituted for the term “Proposing Person” in all places it appears in Section 2.4(iii)(b) and the disclosure with respect to the business to be brought before the meeting in Section 2.4(iii)(b) shall be made with respect to the election of directors at the meeting); and</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52" w:lineRule="auto"/>
        <w:tabs>
          <w:tab w:leader="none" w:pos="216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candidate whom a Nominating Person proposes to nominate for election as a director, (A) all information with respect to such candidate for nomination that would be required to be set forth in a stockholder’s notice pursuant to this Section 2.5 and Section 2.6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Times New Roman" w:cs="Times New Roman" w:eastAsia="Times New Roman" w:hAnsi="Times New Roman"/>
          <w:sz w:val="18"/>
          <w:szCs w:val="18"/>
          <w:u w:val="single" w:color="auto"/>
          <w:color w:val="auto"/>
        </w:rPr>
        <w:t>Nominee Information</w:t>
      </w:r>
      <w:r>
        <w:rPr>
          <w:rFonts w:ascii="Times New Roman" w:cs="Times New Roman" w:eastAsia="Times New Roman" w:hAnsi="Times New Roman"/>
          <w:sz w:val="18"/>
          <w:szCs w:val="18"/>
          <w:color w:val="auto"/>
        </w:rPr>
        <w:t>”), and</w:t>
      </w:r>
    </w:p>
    <w:p>
      <w:pPr>
        <w:spacing w:after="0" w:line="3"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a completed and signed questionnaire, representation and agreement as provided in Section 2.6(i).</w:t>
      </w: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this Section 2.5, the term “</w:t>
      </w:r>
      <w:r>
        <w:rPr>
          <w:rFonts w:ascii="Times New Roman" w:cs="Times New Roman" w:eastAsia="Times New Roman" w:hAnsi="Times New Roman"/>
          <w:sz w:val="18"/>
          <w:szCs w:val="18"/>
          <w:u w:val="single" w:color="auto"/>
          <w:color w:val="auto"/>
        </w:rPr>
        <w:t>Nominating Person</w:t>
      </w:r>
      <w:r>
        <w:rPr>
          <w:rFonts w:ascii="Times New Roman" w:cs="Times New Roman" w:eastAsia="Times New Roman" w:hAnsi="Times New Roman"/>
          <w:sz w:val="18"/>
          <w:szCs w:val="18"/>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other participant in such solicitation.</w:t>
      </w:r>
    </w:p>
    <w:p>
      <w:pPr>
        <w:spacing w:after="0" w:line="176" w:lineRule="exact"/>
        <w:rPr>
          <w:sz w:val="20"/>
          <w:szCs w:val="20"/>
          <w:color w:val="auto"/>
        </w:rPr>
      </w:pPr>
    </w:p>
    <w:p>
      <w:pPr>
        <w:jc w:val="both"/>
        <w:ind w:firstLine="1304"/>
        <w:spacing w:after="0" w:line="253" w:lineRule="auto"/>
        <w:tabs>
          <w:tab w:leader="none" w:pos="2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stockholders entitled to vote at the meeting and as of the date that is 10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23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u w:val="single" w:color="auto"/>
          <w:color w:val="auto"/>
        </w:rPr>
        <w:t>Additional Requirements for Valid Nomination of Candidates to Serve as Director and, if Elected, to be Seated as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22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candidate for election as a director of the Corporation at an annual or special meeting, a candidate must be nominated in the manner prescribed in Section 2.5 and the candidate for nomination, whether nominated by the Board of Directors or by a stockholder of record, must have previously delivered (in accordance with the time period prescribed for delivery in a notice to such candidate given by or on behalf of the Board of Directors), to the Secretary at the principal executive offices of the Corporation, (i) a completed written questionnaire (in a form provided by the Corporation) with respect to the background, qualifications, stock ownership and independence of such proposed nominee, and such additional information with respect to such proposed nominee as would be required to be provided by the Corporation pursuant to Schedule 14A if such proposed nominee were a participant in the solicitation of proxies by the Corporation in connection with such annual or special meeting and (ii) a written representation and agreement (in form provided by the Corporation)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18"/>
          <w:szCs w:val="18"/>
          <w:u w:val="single" w:color="auto"/>
          <w:color w:val="auto"/>
        </w:rPr>
        <w:t>Voting Commitment</w:t>
      </w:r>
      <w:r>
        <w:rPr>
          <w:rFonts w:ascii="Times New Roman" w:cs="Times New Roman" w:eastAsia="Times New Roman" w:hAnsi="Times New Roman"/>
          <w:sz w:val="18"/>
          <w:szCs w:val="18"/>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therein or to the Corporation,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(D) if elected as director of the Corporation, intends to serve the entire term until the next meeting at which such candidate would face re-election and (E) consents to being named as a nominee in the Corporation’s proxy statement pursuant to Rule 14a-4(d) under the Exchange Act and any associated proxy card of the Corporation and agrees to serve if elected as a director.</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5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in order for the Board of Directors to determine the eligibility of such candidate for nomination to be an independent director of the Corporation in accordance with the Corporation’s Corporate Governance Guidelines.</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or resolutions proposed to be brought before a meeting of the stockholders.</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candidate shall be eligible for nomination as a director of the Corporation unless such candidate for nomination and the Nominating Person seeking to place such candidate’s name in nomination has complied with Section 2.5 and this Section 2.6, as applicable. The presiding officer at the meeting shall, if the facts warrant, determine that a nomination was not properly made in accordance with Section 2.5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firstLine="1304"/>
        <w:spacing w:after="0" w:line="282" w:lineRule="auto"/>
        <w:tabs>
          <w:tab w:leader="none" w:pos="23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candidate for nomination shall be eligible to be seated as a director of the Corporation unless nominated and elected in accordance with Section 2.5 and this Section 2.6.</w:t>
      </w:r>
    </w:p>
    <w:p>
      <w:pPr>
        <w:spacing w:after="0" w:line="162"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u w:val="single" w:color="auto"/>
          <w:color w:val="auto"/>
        </w:rPr>
        <w:t>Notice of Stockholders’ Meetings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notice of any meeting of stockholders shall be sent or otherwise given in accordance with Section 8.1 of these bylaws not less than 10 nor more than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83"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w:t>
      </w:r>
    </w:p>
    <w:p>
      <w:pPr>
        <w:spacing w:after="0" w:line="19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u w:val="single" w:color="auto"/>
          <w:color w:val="auto"/>
        </w:rPr>
        <w:t>Adjourned Meeting; Notice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any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u w:val="single" w:color="auto"/>
          <w:color w:val="auto"/>
        </w:rPr>
        <w:t>Conduct of Business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92"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these bylaws or the DGCL, each stockholder shall be entitled to one vote for each share of capital stock held by such stockholder.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w:t>
      </w:r>
    </w:p>
    <w:p>
      <w:pPr>
        <w:spacing w:after="0" w:line="187"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u w:val="single" w:color="auto"/>
          <w:color w:val="auto"/>
        </w:rPr>
        <w:t>Record Date for Stockholder Meetings and Other Purposes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60 days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83"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u w:val="single" w:color="auto"/>
          <w:color w:val="auto"/>
        </w:rPr>
        <w:t>Proxies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 A proxy may be in the form of an electronic transmission that sets forth or is submitted with information from which it can be determined that the transmission was authorized by the stockholder.</w:t>
      </w:r>
    </w:p>
    <w:p>
      <w:pPr>
        <w:spacing w:after="0" w:line="183"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u w:val="single" w:color="auto"/>
          <w:color w:val="auto"/>
        </w:rPr>
        <w:t>List of Stockholders Entitled to Vote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Corporation shall prepare, at least 10 days before every meeting of stockholders, a complete list of the stockholders entitled to vote at the meeting (provided, however, that if the record date for determining the stockholders entitled to vote is less than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u w:val="single" w:color="auto"/>
          <w:color w:val="auto"/>
        </w:rPr>
        <w:t>Inspectors of Election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inspectors shall:</w:t>
      </w:r>
    </w:p>
    <w:p>
      <w:pPr>
        <w:spacing w:after="0" w:line="225" w:lineRule="exact"/>
        <w:rPr>
          <w:sz w:val="20"/>
          <w:szCs w:val="20"/>
          <w:color w:val="auto"/>
        </w:rPr>
      </w:pPr>
    </w:p>
    <w:p>
      <w:pPr>
        <w:ind w:firstLine="1304"/>
        <w:spacing w:after="0" w:line="282" w:lineRule="auto"/>
        <w:tabs>
          <w:tab w:leader="none" w:pos="2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outstanding and the voting power of each, the number of shares represented at the meeting and the validity of any proxies and ballots;</w:t>
      </w:r>
    </w:p>
    <w:p>
      <w:pPr>
        <w:spacing w:after="0" w:line="161"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or ballots;</w:t>
      </w:r>
    </w:p>
    <w:p>
      <w:pPr>
        <w:spacing w:after="0" w:line="225"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and tabulate all votes;</w:t>
      </w:r>
    </w:p>
    <w:p>
      <w:pPr>
        <w:spacing w:after="0" w:line="225" w:lineRule="exact"/>
        <w:rPr>
          <w:rFonts w:ascii="Times New Roman" w:cs="Times New Roman" w:eastAsia="Times New Roman" w:hAnsi="Times New Roman"/>
          <w:sz w:val="18"/>
          <w:szCs w:val="18"/>
          <w:color w:val="auto"/>
        </w:rPr>
      </w:pPr>
    </w:p>
    <w:p>
      <w:pPr>
        <w:ind w:left="2260" w:hanging="956"/>
        <w:spacing w:after="0"/>
        <w:tabs>
          <w:tab w:leader="none" w:pos="2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inspector(s); and</w:t>
      </w:r>
    </w:p>
    <w:p>
      <w:pPr>
        <w:spacing w:after="0" w:line="206" w:lineRule="exact"/>
        <w:rPr>
          <w:rFonts w:ascii="Times New Roman" w:cs="Times New Roman" w:eastAsia="Times New Roman" w:hAnsi="Times New Roman"/>
          <w:sz w:val="18"/>
          <w:szCs w:val="18"/>
          <w:color w:val="auto"/>
        </w:rPr>
      </w:pPr>
    </w:p>
    <w:p>
      <w:pPr>
        <w:ind w:left="2340" w:hanging="1036"/>
        <w:spacing w:after="0"/>
        <w:tabs>
          <w:tab w:leader="none" w:pos="2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its or their determination of the number of shares represented at the meeting and its or their count of all votes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ballots.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76"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u w:val="single" w:color="auto"/>
          <w:color w:val="auto"/>
        </w:rPr>
        <w:t>Delivery to the Corporation.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29"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or the DGCL, the business and affairs of the Corporation shall be managed by or under the direction of the Board.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Number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Election, Qualification and Term of Office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provided in Section 3.4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in accordance with the Certificate of Incorporation. Directors need not be stockholders. The Certificate of Incorporation or these bylaws may prescribe qualifications for directors.</w:t>
      </w:r>
    </w:p>
    <w:p>
      <w:pPr>
        <w:spacing w:after="0" w:line="18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u w:val="single" w:color="auto"/>
          <w:color w:val="auto"/>
        </w:rPr>
        <w:t>Resignation and Vacancies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u w:val="single" w:color="auto"/>
          <w:color w:val="auto"/>
        </w:rPr>
        <w:t>Place of Meetings; Meetings by Telephone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may hold meetings, both regular and special, either within or outside the State of Delaware.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8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u w:val="single" w:color="auto"/>
          <w:color w:val="auto"/>
        </w:rPr>
        <w:t>Regular Meetings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u w:val="single" w:color="auto"/>
          <w:color w:val="auto"/>
        </w:rPr>
        <w:t>Special Meetings; Notice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Special meetings of the Board for any purpose or purposes may be called at any time by the Chairperson of the Board, the Chief Executive Officer, the President, the Secretary or a majority of the total number of directors constituting the Board.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225" w:lineRule="exact"/>
        <w:rPr>
          <w:sz w:val="20"/>
          <w:szCs w:val="20"/>
          <w:color w:val="auto"/>
        </w:rPr>
      </w:pPr>
    </w:p>
    <w:p>
      <w:pPr>
        <w:ind w:left="1960" w:hanging="656"/>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electronic mail;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other means of electronic transmission,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or electronic mail address, or other address for electronic transmission, as the case may be, as shown on the Corporation’s records.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or electronic mail, or (iii) sent by other means of electronic transmission, it shall be delivered or sent at least 24 hours before the time of the holding of the meeting. If the notice is sent by U.S. mail, it shall be deposited in the U.S. mail at least four days before the time of the holding of the meeting. The notice need not specify the place of the meeting (if the meeting is to be held at the Corporation’s principal executive office) nor the purpose of the meeting.</w:t>
      </w:r>
    </w:p>
    <w:p>
      <w:pPr>
        <w:spacing w:after="0" w:line="18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u w:val="single" w:color="auto"/>
          <w:color w:val="auto"/>
        </w:rPr>
        <w:t>Board Action without a Meeting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7"/>
          <w:szCs w:val="17"/>
          <w:u w:val="single" w:color="auto"/>
          <w:color w:val="auto"/>
        </w:rPr>
        <w:t>Fees and Compensation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22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Committees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w:t>
      </w:r>
    </w:p>
    <w:p>
      <w:pPr>
        <w:spacing w:after="0" w:line="18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Meetings and Actions of Committees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w:t>
      </w:r>
    </w:p>
    <w:p>
      <w:pPr>
        <w:spacing w:after="0" w:line="225" w:lineRule="exact"/>
        <w:rPr>
          <w:sz w:val="20"/>
          <w:szCs w:val="20"/>
          <w:color w:val="auto"/>
        </w:rPr>
      </w:pPr>
    </w:p>
    <w:p>
      <w:pPr>
        <w:ind w:left="1960" w:hanging="656"/>
        <w:spacing w:after="0"/>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(place of meetings; meetings by telephone);</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(regular meetings);</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(special meetings; notice);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3.9 (board action without a meeting);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7.14 (waiver of notice),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such changes in the context of those bylaws as are necessary to substitute the committee and its members for the Board and its members.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220" w:hanging="916"/>
        <w:spacing w:after="0"/>
        <w:tabs>
          <w:tab w:leader="none" w:pos="2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regular meetings of committees may be determined either by resolution of the Board or by resolution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w:t>
      </w:r>
    </w:p>
    <w:p>
      <w:pPr>
        <w:spacing w:after="0" w:line="207" w:lineRule="exact"/>
        <w:rPr>
          <w:sz w:val="20"/>
          <w:szCs w:val="20"/>
          <w:color w:val="auto"/>
        </w:rPr>
      </w:pPr>
    </w:p>
    <w:p>
      <w:pPr>
        <w:ind w:left="2060" w:hanging="756"/>
        <w:spacing w:after="0"/>
        <w:tabs>
          <w:tab w:leader="none" w:pos="2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committees may also be called by resolution of the Board or the chairperson of the applicable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firstLine="1304"/>
        <w:spacing w:after="0" w:line="282" w:lineRule="auto"/>
        <w:tabs>
          <w:tab w:leader="none" w:pos="20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adopt rules for the governance of any committee to override the provisions that would otherwise apply to the committee pursuant to this Section 4.2, provided that such rules do not violate the provisions of the Certificate of Incorporation or applicable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Subcommittees.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the resolutions of the Board designating the committee or the charter of such committee adopted by the Board, a committee may create one or more subcommittees, each subcommittee to consist of one or more members of the committee, and delegate to a subcommittee any or all of the powers and authority of the committee.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22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auto"/>
        </w:rPr>
        <w:t>Officers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officers of the Corporation shall include a Chief Executive Officer, a President and a Secretary. The Corporation may also have, at the discretion of the Board, a Chairperson of the Board, a Vice Chairperson of the Board, a Chief Financial Officer, a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Appointment of Officers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shall appoint the officers of the Corporation, except such officers as may be appointed in accordance with the provisions of Section 5.3 of these bylaws.</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u w:val="single" w:color="auto"/>
          <w:color w:val="auto"/>
        </w:rPr>
        <w:t>Subordinate Officers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u w:val="single" w:color="auto"/>
          <w:color w:val="auto"/>
        </w:rPr>
        <w:t>Removal and Resignation of Officers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u w:val="single" w:color="auto"/>
          <w:color w:val="auto"/>
        </w:rPr>
        <w:t>Vacancies in Offices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vacancy occurring in any office of the Corporation shall be filled as provided in Section 5.2 or Section 5.3, as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u w:val="single" w:color="auto"/>
          <w:color w:val="auto"/>
        </w:rPr>
        <w:t>Representation of Shares of Other Corporations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u w:val="single" w:color="auto"/>
          <w:color w:val="auto"/>
        </w:rPr>
        <w:t>Authority and Duties of Officers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u w:val="single" w:color="auto"/>
          <w:color w:val="auto"/>
        </w:rPr>
        <w:t>Compensation.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of the officers of the Corporation for their services as such shall be fixed from time to time by or at the direction of the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officer of the Corporation shall not be prevented from receiving compensation by reason of the fact that he or she is also a director of the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 - Records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1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Article VII - General Matters</w:t>
      </w:r>
    </w:p>
    <w:p>
      <w:pPr>
        <w:spacing w:after="0" w:line="22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u w:val="single" w:color="auto"/>
          <w:color w:val="auto"/>
        </w:rPr>
        <w:t>Execution of Corporate Contracts and Instruments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u w:val="single" w:color="auto"/>
          <w:color w:val="auto"/>
        </w:rPr>
        <w:t>Stock Certificates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u w:val="single" w:color="auto"/>
          <w:color w:val="auto"/>
        </w:rPr>
        <w:t>Special Designation of Certificates.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8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u w:val="single" w:color="auto"/>
          <w:color w:val="auto"/>
        </w:rPr>
        <w:t>Lost Certificates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u w:val="single" w:color="auto"/>
          <w:color w:val="auto"/>
        </w:rPr>
        <w:t>Shares Without Certificates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u w:val="single" w:color="auto"/>
          <w:color w:val="auto"/>
        </w:rPr>
        <w:t>Construction; Definitions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and may be changed by the Board.</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7"/>
          <w:szCs w:val="17"/>
          <w:u w:val="single" w:color="auto"/>
          <w:color w:val="auto"/>
        </w:rPr>
        <w:t>Seal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7"/>
          <w:szCs w:val="17"/>
          <w:u w:val="single" w:color="auto"/>
          <w:color w:val="auto"/>
        </w:rPr>
        <w:t>Transfer of Stock</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restrictions set forth in Section 7.12,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87"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u w:val="single" w:color="auto"/>
          <w:color w:val="auto"/>
        </w:rPr>
        <w:t>Stock Transfer Agreements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 or other applicable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u w:val="single" w:color="auto"/>
          <w:color w:val="auto"/>
        </w:rPr>
        <w:t>Lock-Up.</w:t>
      </w:r>
    </w:p>
    <w:p>
      <w:pPr>
        <w:spacing w:after="0" w:line="225" w:lineRule="exact"/>
        <w:rPr>
          <w:sz w:val="20"/>
          <w:szCs w:val="20"/>
          <w:color w:val="auto"/>
        </w:rPr>
      </w:pPr>
    </w:p>
    <w:p>
      <w:pPr>
        <w:jc w:val="both"/>
        <w:ind w:firstLine="1304"/>
        <w:spacing w:after="0" w:line="255" w:lineRule="auto"/>
        <w:tabs>
          <w:tab w:leader="none" w:pos="19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7.12(ii), the holders (the “Lock-up Holders”) of common stock of the Corporation issued (a) as consideration pursuant to the merger of Hestia Merger Sub Inc., a Delaware corporation, with and into Opendoor Labs Inc., a Delaware corporation (the “OD Transaction”) or (b) to directors, officers and employees of the Corporation upon the settlement or exercise of restricted stock units, stock options or other equity awards outstanding as of immediately following the closing of the OD Transaction in respect of awards of Opendoor Labs Inc. outstanding immediately prior to the closing of the OD Transaction (excluding, for the avoidance of doubt, the Acquiror Warrants (as defined in the Merger Agreement)) (such shares referred to in Section 7.12(i)(b), the “OD Equity Award Shares”), may not Transfer any Lock-up Shares until the end of the Lock-up Period (the “Lock-up”).</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set forth in Section 7.12(i), the Lock-up Holders or their respective Permitted Transferees may Transfer the Lock-up Shares during the Lock-up Period (a) to (i) the Corporation’s officers or directors, (ii) any affiliates or family members of the Corporation’s officers or directors, or (iii) the other Lock-up Holders or any direct or indirect partners, members or equity holders of the Lock-up Holders, any affiliates of the Lock-up Holders or any related investment funds or vehicles controlled or managed by such persons or entities or their respective affiliates; (b) in the case of an individual, by gift to a member of the individual’s immediate family or to a trust, the beneficiary of which is a member of the individual’s immediate family or an affiliate of such person or entity, or to a charitable organization; (c) in the case of an individual, by virtue of laws of descent and distribution upon death of the individual; (d) in the case of an individual, pursuant to a qualified domestic relations order; (e) in connection with any bona fide mortgage, encumbrance or pledge to a financial institution in connection with any bona fide loan or debt transaction or enforcement thereunder, including foreclosure thereof; (f) to the Corporation; or (g) in connection with a liquidation, merger, stock exchange, reorganization, tender offer approved by the Board or a duly authorized committee thereof or other similar transaction which results in all of the Corporation’s stockholders having the right to exchange their shares of common stock for cash, securities or other property subsequent to the closing date of the OD Transaction.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1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other provisions set forth in this Section 7.12, the Board may, in its sole discretion, determine to waive, amend, or repeal the Lock-up obligations set forth herein; provided, that, any such waiver, amendment or repeal of any Lock-up obligations set forth herein shall require, in addition to any other vote of the members of the Board of Directors required to take such action pursuant to these bylaws or applicable law, the affirmative vote of at least one of the directors of the Corporation that has been designated pursuant to Section 7.6(a)(i) or Section 7.6(a)(ii) of the Merger Agreement, or if no such person is then serving as a director of the Corporation, one of their respective successors.</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7.12:</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9" w:lineRule="auto"/>
        <w:tabs>
          <w:tab w:leader="none" w:pos="27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xml:space="preserve">” means the period beginning on the closing date of the OD Transaction and ending on the earlier of (i) the date that is 180 days after the closing date of the OD Transaction and (ii) for 50% of the Lock-up Shares held by each Lock-Up Holder and their respective Permitted Transferees (determined as if, with respect to any OD Equity Award Shares that are net settled, such OD Equity Award Shares were instead cash settled), the date on which the last reported sale price of the common stock equals or exceeds $15.00 per share (as adjusted for stock splits, stock dividends, reorganizations, recapitalizations and the like) for any 20 trading days within any 30-trading day period commencing at least 90 days after the closing date of the OD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Lock-up Period for any Lock-up Shares for which the Lock-up Period has not ended on the date that is 180 days after the closing date of the OD Transaction shall end on such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closing date of the OD Transaction;</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left="1300" w:firstLine="652"/>
        <w:spacing w:after="0" w:line="255" w:lineRule="auto"/>
        <w:tabs>
          <w:tab w:leader="none" w:pos="27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xml:space="preserve">” means the shares of common stock held by the Lock-up Holders immediately following the closing of the OD Transaction (other than shares of common stock acquired in the public market or pursuant to a transaction exempt from registration under the Securities Act of 1933, as amended, pursuant to a subscription agreement where the issuance of common stock occurs on or after the closing of the OD Transaction) and the OD Equity Awards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clarity, shares of common stock issued in connection with the Domestication (as defined in that certain Merger Agreement, entered into by and among the Corporation, Opendoor Labs Inc. and Hestia Merger Sub Inc., dated as of September 15, 2020, as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or the PIPE Investment (as defined in the Merger Agreement) shall not constitute Lock-up Shares;</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7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Permitted Transferees</w:t>
      </w:r>
      <w:r>
        <w:rPr>
          <w:rFonts w:ascii="Times New Roman" w:cs="Times New Roman" w:eastAsia="Times New Roman" w:hAnsi="Times New Roman"/>
          <w:sz w:val="18"/>
          <w:szCs w:val="18"/>
          <w:color w:val="auto"/>
        </w:rPr>
        <w:t>” means, prior to the expiration of the Lock-up Period, any person or entity to whom such Lock-up Holder is permitted to transfer such shares of common stock prior to the expiration of the Lock-up Period pursuant to Section 7.12(ii); and</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88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the (a)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8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7.13</w:t>
      </w:r>
      <w:r>
        <w:rPr>
          <w:sz w:val="20"/>
          <w:szCs w:val="20"/>
          <w:color w:val="auto"/>
        </w:rPr>
        <w:tab/>
      </w:r>
      <w:r>
        <w:rPr>
          <w:rFonts w:ascii="Times New Roman" w:cs="Times New Roman" w:eastAsia="Times New Roman" w:hAnsi="Times New Roman"/>
          <w:sz w:val="17"/>
          <w:szCs w:val="17"/>
          <w:u w:val="single" w:color="auto"/>
          <w:color w:val="auto"/>
        </w:rPr>
        <w:t>Registered Stockholders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5" w:lineRule="exact"/>
        <w:rPr>
          <w:sz w:val="20"/>
          <w:szCs w:val="20"/>
          <w:color w:val="auto"/>
        </w:rPr>
      </w:pPr>
    </w:p>
    <w:p>
      <w:pPr>
        <w:ind w:firstLine="1304"/>
        <w:spacing w:after="0" w:line="282" w:lineRule="auto"/>
        <w:tabs>
          <w:tab w:leader="none" w:pos="20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7.14</w:t>
      </w:r>
      <w:r>
        <w:rPr>
          <w:sz w:val="20"/>
          <w:szCs w:val="20"/>
          <w:color w:val="auto"/>
        </w:rPr>
        <w:tab/>
      </w:r>
      <w:r>
        <w:rPr>
          <w:rFonts w:ascii="Times New Roman" w:cs="Times New Roman" w:eastAsia="Times New Roman" w:hAnsi="Times New Roman"/>
          <w:sz w:val="17"/>
          <w:szCs w:val="17"/>
          <w:u w:val="single" w:color="auto"/>
          <w:color w:val="auto"/>
        </w:rPr>
        <w:t>Waiver of Notice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4840"/>
        <w:spacing w:after="0"/>
        <w:rPr>
          <w:sz w:val="20"/>
          <w:szCs w:val="20"/>
          <w:color w:val="auto"/>
        </w:rPr>
      </w:pPr>
      <w:r>
        <w:rPr>
          <w:rFonts w:ascii="Times New Roman" w:cs="Times New Roman" w:eastAsia="Times New Roman" w:hAnsi="Times New Roman"/>
          <w:sz w:val="18"/>
          <w:szCs w:val="18"/>
          <w:b w:val="1"/>
          <w:bCs w:val="1"/>
          <w:color w:val="auto"/>
        </w:rPr>
        <w:t>Article VIII - Notice</w:t>
      </w:r>
    </w:p>
    <w:p>
      <w:pPr>
        <w:spacing w:after="0" w:line="22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u w:val="single" w:color="auto"/>
          <w:color w:val="auto"/>
        </w:rPr>
        <w:t>Delivery of Notice; Notice by Electronic Transmission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225" w:lineRule="exact"/>
        <w:rPr>
          <w:sz w:val="20"/>
          <w:szCs w:val="20"/>
          <w:color w:val="auto"/>
        </w:rPr>
      </w:pPr>
    </w:p>
    <w:p>
      <w:pPr>
        <w:ind w:left="1960" w:hanging="656"/>
        <w:spacing w:after="0"/>
        <w:tabs>
          <w:tab w:leader="none" w:pos="1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 (A) such posting and (B) the giving of such separate notice;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a notice may not be given by an electronic transmission from and after the time that (1) the Corporation is unable to deliver by such electronic transmission two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 - Indemnification</w:t>
      </w:r>
    </w:p>
    <w:p>
      <w:pPr>
        <w:spacing w:after="0" w:line="229"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u w:val="single" w:color="auto"/>
          <w:color w:val="auto"/>
        </w:rPr>
        <w:t>Power to Indemnify in Actions, Suits or Proceedings other than Those by or in the Right of the Corporation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Section 9.3,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92"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u w:val="single" w:color="auto"/>
          <w:color w:val="auto"/>
        </w:rPr>
        <w:t>Power to Indemnify in Actions, Suits or Proceedings by or in the Right of the Corporation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Section 9.3,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4"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u w:val="single" w:color="auto"/>
          <w:color w:val="auto"/>
        </w:rPr>
        <w:t>Authorization of 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indemnification under this Article IX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Section 9.1 or Section 9.2, as the case may be. Such determination shall be made, with respect to a person who is a director or officer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Good Faith Defined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purposes of any determination under Section 9.3,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Section 9.4 shall not be deemed to be exclusive or to limit in any way the circumstances in which a person may be deemed to have met the applicable standard of conduct set forth in Section 9.1 or 9.2, as the case may be.</w:t>
      </w:r>
    </w:p>
    <w:p>
      <w:pPr>
        <w:spacing w:after="0" w:line="192"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u w:val="single" w:color="auto"/>
          <w:color w:val="auto"/>
        </w:rPr>
        <w:t>Indemnification by a Court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contrary determination in the specific case under Section 9.3,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Section 9.1 or 9.2. The basis of such indemnification by a court shall be a determination by such court that indemnification of the director or officer is proper in the circumstances because such person has met the applicable standard of conduct set forth in Section 9.1 or Section 9.2, as the case may be. Neither a contrary determination in the specific case under Section 9.3 nor the absence of any determination thereunder shall be a defense to such application or create a presumption that the director or officer seeking indemnification has not met any applicable standard of conduct. Notice of any application for indemnification pursuant to this Article IX shall be given to the Corporation promptly upon the filing of such application. If successful, in whole or in part, the director or officer seeking indemnification shall also be entitled to be paid the expense of prosecuting such application.</w:t>
      </w:r>
    </w:p>
    <w:p>
      <w:pPr>
        <w:spacing w:after="0" w:line="188"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7"/>
          <w:szCs w:val="17"/>
          <w:u w:val="single" w:color="auto"/>
          <w:color w:val="auto"/>
        </w:rPr>
        <w:t>Expenses Payable in Advance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Expenses (including attorneys’ fees) incurred by a director or officer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Article IX. Such expenses (including attorneys’ fees) incurred by former directors and officers or other employees and agents may be so paid upon such terms and conditions, if any, as the Corporation deems appropriate.</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u w:val="single" w:color="auto"/>
          <w:color w:val="auto"/>
        </w:rPr>
        <w:t>Nonexclusivity of Indemnification and Advancement of Expenses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this Article IX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Section 9.1 or 9.2 shall be made to the fullest extent permitted by law. The provisions of this Article IX shall not be deemed to preclude the indemnification of any person who is not specified in Section 9.1 or Section 9.2 but whom the Corporation has the power or obligation to indemnify under the provisions of the DGCL, or otherwise.</w:t>
      </w:r>
    </w:p>
    <w:p>
      <w:pPr>
        <w:spacing w:after="0" w:line="187"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IX.</w:t>
      </w:r>
    </w:p>
    <w:p>
      <w:pPr>
        <w:spacing w:after="0" w:line="183"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purposes of this Article IX,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Article IX with respect to the resulting or surviving corporation as such person would have with respect to such constituent corporation if its separate existence had continued. The term “another enterprise” as used in this Article IX shall mean any other corporation or any partnership, joint venture, trust, employee benefit plan or other enterprise of which such person is or was serving at the request of the Corporation as a director, officer, employee or agent. For purposes of this Article IX,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IX.</w:t>
      </w:r>
    </w:p>
    <w:p>
      <w:pPr>
        <w:spacing w:after="0" w:line="187"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7"/>
          <w:szCs w:val="17"/>
          <w:u w:val="single" w:color="auto"/>
          <w:color w:val="auto"/>
        </w:rPr>
        <w:t>Survival of Indemnification and Advancement of Expenses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this Article IX shall, unless otherwise provided when authorized or ratified, continue as to a person who has ceased to be a director or officer and shall inure to the benefit of the heirs, executors and administrators of such a person.</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660"/>
        <w:spacing w:after="0"/>
        <w:tabs>
          <w:tab w:leader="none" w:pos="148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7"/>
          <w:szCs w:val="17"/>
          <w:u w:val="single" w:color="auto"/>
          <w:color w:val="auto"/>
        </w:rPr>
        <w:t>Limitation on 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contained in this Article IX to the contrary, except for proceedings to enforce rights to indemnification (which shall be governed by Section 9.5), the Corporation shall not be obligated to indemnify any director or officer (or his or her heirs, executors or personal or legal representatives) or advance expenses in connection with a proceeding (or part thereof) initiated by such person unless such proceeding (or part thereof) was authorized or consented to by the Board of Directors of the Corporation.</w:t>
      </w:r>
    </w:p>
    <w:p>
      <w:pPr>
        <w:spacing w:after="0" w:line="180"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7"/>
          <w:szCs w:val="17"/>
          <w:u w:val="single" w:color="auto"/>
          <w:color w:val="auto"/>
        </w:rPr>
        <w:t>Indemnification of Employees and Agents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Corporation may, to the extent authorized from time to time by the Board of Directors, provide rights to indemnification and to the advancement of expenses to employees and agents of the Corporation similar to those conferred in this Article IX to directors and officers of the Corporation.</w:t>
      </w:r>
    </w:p>
    <w:p>
      <w:pPr>
        <w:spacing w:after="0" w:line="176"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7"/>
          <w:szCs w:val="17"/>
          <w:u w:val="single" w:color="auto"/>
          <w:color w:val="auto"/>
        </w:rPr>
        <w:t>Primacy of 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that a director, officer, employee or agent of the Corporation (collectively,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may have certain rights to indemnification, advancement of expenses and/or insurance provided by other persons (collectively, the “</w:t>
      </w:r>
      <w:r>
        <w:rPr>
          <w:rFonts w:ascii="Times New Roman" w:cs="Times New Roman" w:eastAsia="Times New Roman" w:hAnsi="Times New Roman"/>
          <w:sz w:val="18"/>
          <w:szCs w:val="18"/>
          <w:u w:val="single" w:color="auto"/>
          <w:color w:val="auto"/>
        </w:rPr>
        <w:t>Other Indemnitors</w:t>
      </w:r>
      <w:r>
        <w:rPr>
          <w:rFonts w:ascii="Times New Roman" w:cs="Times New Roman" w:eastAsia="Times New Roman" w:hAnsi="Times New Roman"/>
          <w:sz w:val="18"/>
          <w:szCs w:val="18"/>
          <w:color w:val="auto"/>
        </w:rPr>
        <w:t>”), with respect to the rights to indemnification, advancement of expenses and/or insurance set forth herein, the Corporation: (i) shall be the indemnitor of first resort (i.e., its obligations to Covered Persons are primary and any obligation of the Other Indemnitors to advance expenses or to provide indemnification for the same expenses or liabilities incurred by Covered Persons are secondary); and (ii) shall be required to advance the full amount of expenses incurred by Covered Persons and shall be liable for the full amount of all liabilities, without regard to any rights Covered Persons may have against any of the Other Indemnitors. No advancement or payment by the Other Indemnitors on behalf of Covered Persons with respect to any claim for which Covered Persons have sought indemnification from the Corporation shall affect the immediately preceding sentence, and the Other Indemnitors shall have a right of contribution and/or be subrogated to the extent of such advancement or payment to all of the rights of recovery of Covered Persons against the Corporation. Notwithstanding anything to the contrary herein, the obligations of the Corporation under this Section 9.13 shall only apply to Covered Persons in their capacity as Covered Persons.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Board is expressly empowered to adopt, amend or repeal the bylaws of the Corporation. The stockholders also shall have power to adopt, amend or repeal the bylaws of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action by stockholders shall require, in addition to any other vote required by the Certificate of Incorporation or applicable law, the affirmative vote of the holders of at least two-thirds of the voting power of all the then-outstanding shares of voting stock of the Corporation with the power to vote generally in an election of directors, voting together as a single class.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Article XI -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these bylaws, unless the context otherwise requires, the following terms shall have the following meanings: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w:t>
      </w:r>
      <w:r>
        <w:rPr>
          <w:rFonts w:ascii="Times New Roman" w:cs="Times New Roman" w:eastAsia="Times New Roman" w:hAnsi="Times New Roman"/>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 address</w:t>
      </w:r>
      <w:r>
        <w:rPr>
          <w:rFonts w:ascii="Times New Roman" w:cs="Times New Roman" w:eastAsia="Times New Roman" w:hAnsi="Times New Roman"/>
          <w:sz w:val="18"/>
          <w:szCs w:val="18"/>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4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414"/>
        </w:trPr>
        <w:tc>
          <w:tcPr>
            <w:tcW w:w="5100" w:type="dxa"/>
            <w:vAlign w:val="bottom"/>
          </w:tcPr>
          <w:p>
            <w:pPr>
              <w:spacing w:after="0"/>
              <w:rPr>
                <w:sz w:val="24"/>
                <w:szCs w:val="24"/>
                <w:color w:val="auto"/>
              </w:rPr>
            </w:pPr>
          </w:p>
        </w:tc>
        <w:tc>
          <w:tcPr>
            <w:tcW w:w="61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555 Eleventh Street, N.W., Suite 1000</w:t>
            </w:r>
          </w:p>
        </w:tc>
      </w:tr>
      <w:tr>
        <w:trPr>
          <w:trHeight w:val="216"/>
        </w:trPr>
        <w:tc>
          <w:tcPr>
            <w:tcW w:w="5100" w:type="dxa"/>
            <w:vAlign w:val="bottom"/>
          </w:tcPr>
          <w:p>
            <w:pPr>
              <w:spacing w:after="0"/>
              <w:rPr>
                <w:sz w:val="18"/>
                <w:szCs w:val="18"/>
                <w:color w:val="auto"/>
              </w:rPr>
            </w:pPr>
          </w:p>
        </w:tc>
        <w:tc>
          <w:tcPr>
            <w:tcW w:w="61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Washington, D.C. 20004-1304</w:t>
            </w:r>
          </w:p>
        </w:tc>
      </w:tr>
      <w:tr>
        <w:trPr>
          <w:trHeight w:val="216"/>
        </w:trPr>
        <w:tc>
          <w:tcPr>
            <w:tcW w:w="5100" w:type="dxa"/>
            <w:vAlign w:val="bottom"/>
          </w:tcPr>
          <w:p>
            <w:pPr>
              <w:spacing w:after="0"/>
              <w:rPr>
                <w:sz w:val="18"/>
                <w:szCs w:val="18"/>
                <w:color w:val="auto"/>
              </w:rPr>
            </w:pPr>
          </w:p>
        </w:tc>
        <w:tc>
          <w:tcPr>
            <w:tcW w:w="61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Tel: +1.202.637.2200 Fax: +1.202.637.2201</w:t>
            </w:r>
          </w:p>
        </w:tc>
      </w:tr>
      <w:tr>
        <w:trPr>
          <w:trHeight w:val="234"/>
        </w:trPr>
        <w:tc>
          <w:tcPr>
            <w:tcW w:w="5100" w:type="dxa"/>
            <w:vAlign w:val="bottom"/>
          </w:tcPr>
          <w:p>
            <w:pPr>
              <w:spacing w:after="0"/>
              <w:rPr>
                <w:sz w:val="20"/>
                <w:szCs w:val="20"/>
                <w:color w:val="auto"/>
              </w:rPr>
            </w:pPr>
          </w:p>
        </w:tc>
        <w:tc>
          <w:tcPr>
            <w:tcW w:w="4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www.lw.com</w:t>
            </w:r>
          </w:p>
        </w:tc>
        <w:tc>
          <w:tcPr>
            <w:tcW w:w="2040" w:type="dxa"/>
            <w:vAlign w:val="bottom"/>
          </w:tcPr>
          <w:p>
            <w:pPr>
              <w:spacing w:after="0"/>
              <w:rPr>
                <w:sz w:val="20"/>
                <w:szCs w:val="20"/>
                <w:color w:val="auto"/>
              </w:rPr>
            </w:pPr>
          </w:p>
        </w:tc>
      </w:tr>
      <w:tr>
        <w:trPr>
          <w:trHeight w:val="414"/>
        </w:trPr>
        <w:tc>
          <w:tcPr>
            <w:tcW w:w="5100" w:type="dxa"/>
            <w:vAlign w:val="bottom"/>
          </w:tcPr>
          <w:p>
            <w:pPr>
              <w:spacing w:after="0"/>
              <w:rPr>
                <w:sz w:val="24"/>
                <w:szCs w:val="24"/>
                <w:color w:val="auto"/>
              </w:rPr>
            </w:pPr>
          </w:p>
        </w:tc>
        <w:tc>
          <w:tcPr>
            <w:tcW w:w="61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216"/>
        </w:trPr>
        <w:tc>
          <w:tcPr>
            <w:tcW w:w="5100" w:type="dxa"/>
            <w:vAlign w:val="bottom"/>
          </w:tcPr>
          <w:p>
            <w:pPr>
              <w:spacing w:after="0"/>
              <w:rPr>
                <w:sz w:val="18"/>
                <w:szCs w:val="18"/>
                <w:color w:val="auto"/>
              </w:rPr>
            </w:pPr>
          </w:p>
        </w:tc>
        <w:tc>
          <w:tcPr>
            <w:tcW w:w="4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Beijing</w:t>
            </w:r>
          </w:p>
        </w:tc>
        <w:tc>
          <w:tcPr>
            <w:tcW w:w="2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Moscow</w:t>
            </w:r>
          </w:p>
        </w:tc>
      </w:tr>
      <w:tr>
        <w:trPr>
          <w:trHeight w:val="216"/>
        </w:trPr>
        <w:tc>
          <w:tcPr>
            <w:tcW w:w="5100" w:type="dxa"/>
            <w:vAlign w:val="bottom"/>
          </w:tcPr>
          <w:p>
            <w:pPr>
              <w:spacing w:after="0"/>
              <w:rPr>
                <w:sz w:val="18"/>
                <w:szCs w:val="18"/>
                <w:color w:val="auto"/>
              </w:rPr>
            </w:pPr>
          </w:p>
        </w:tc>
        <w:tc>
          <w:tcPr>
            <w:tcW w:w="4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Boston</w:t>
            </w:r>
          </w:p>
        </w:tc>
        <w:tc>
          <w:tcPr>
            <w:tcW w:w="2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5100" w:type="dxa"/>
            <w:vAlign w:val="bottom"/>
          </w:tcPr>
          <w:p>
            <w:pPr>
              <w:spacing w:after="0"/>
              <w:rPr>
                <w:sz w:val="18"/>
                <w:szCs w:val="18"/>
                <w:color w:val="auto"/>
              </w:rPr>
            </w:pPr>
          </w:p>
        </w:tc>
        <w:tc>
          <w:tcPr>
            <w:tcW w:w="4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Brussels</w:t>
            </w:r>
          </w:p>
        </w:tc>
        <w:tc>
          <w:tcPr>
            <w:tcW w:w="2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5100" w:type="dxa"/>
            <w:vAlign w:val="bottom"/>
          </w:tcPr>
          <w:p>
            <w:pPr>
              <w:spacing w:after="0"/>
              <w:rPr>
                <w:sz w:val="18"/>
                <w:szCs w:val="18"/>
                <w:color w:val="auto"/>
              </w:rPr>
            </w:pPr>
          </w:p>
        </w:tc>
        <w:tc>
          <w:tcPr>
            <w:tcW w:w="4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Century City</w:t>
            </w:r>
          </w:p>
        </w:tc>
        <w:tc>
          <w:tcPr>
            <w:tcW w:w="2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January 14, 2021</w:t>
            </w:r>
          </w:p>
        </w:tc>
        <w:tc>
          <w:tcPr>
            <w:tcW w:w="4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Chicago</w:t>
            </w:r>
          </w:p>
        </w:tc>
        <w:tc>
          <w:tcPr>
            <w:tcW w:w="2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5100" w:type="dxa"/>
            <w:vAlign w:val="bottom"/>
          </w:tcPr>
          <w:p>
            <w:pPr>
              <w:spacing w:after="0"/>
              <w:rPr>
                <w:sz w:val="18"/>
                <w:szCs w:val="18"/>
                <w:color w:val="auto"/>
              </w:rPr>
            </w:pPr>
          </w:p>
        </w:tc>
        <w:tc>
          <w:tcPr>
            <w:tcW w:w="4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Dubai</w:t>
            </w:r>
          </w:p>
        </w:tc>
        <w:tc>
          <w:tcPr>
            <w:tcW w:w="2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5100" w:type="dxa"/>
            <w:vAlign w:val="bottom"/>
          </w:tcPr>
          <w:p>
            <w:pPr>
              <w:spacing w:after="0"/>
              <w:rPr>
                <w:sz w:val="18"/>
                <w:szCs w:val="18"/>
                <w:color w:val="auto"/>
              </w:rPr>
            </w:pPr>
          </w:p>
        </w:tc>
        <w:tc>
          <w:tcPr>
            <w:tcW w:w="4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Düsseldorf</w:t>
            </w:r>
          </w:p>
        </w:tc>
        <w:tc>
          <w:tcPr>
            <w:tcW w:w="2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5100" w:type="dxa"/>
            <w:vAlign w:val="bottom"/>
          </w:tcPr>
          <w:p>
            <w:pPr>
              <w:spacing w:after="0"/>
              <w:rPr>
                <w:sz w:val="18"/>
                <w:szCs w:val="18"/>
                <w:color w:val="auto"/>
              </w:rPr>
            </w:pPr>
          </w:p>
        </w:tc>
        <w:tc>
          <w:tcPr>
            <w:tcW w:w="4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Frankfurt</w:t>
            </w:r>
          </w:p>
        </w:tc>
        <w:tc>
          <w:tcPr>
            <w:tcW w:w="2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Opendoor Technologies Inc.</w:t>
            </w:r>
          </w:p>
        </w:tc>
        <w:tc>
          <w:tcPr>
            <w:tcW w:w="4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Hamburg</w:t>
            </w:r>
          </w:p>
        </w:tc>
        <w:tc>
          <w:tcPr>
            <w:tcW w:w="2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1 Post Street</w:t>
            </w:r>
          </w:p>
        </w:tc>
        <w:tc>
          <w:tcPr>
            <w:tcW w:w="4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Hong Kong</w:t>
            </w:r>
          </w:p>
        </w:tc>
        <w:tc>
          <w:tcPr>
            <w:tcW w:w="2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Floor 11</w:t>
            </w:r>
          </w:p>
        </w:tc>
        <w:tc>
          <w:tcPr>
            <w:tcW w:w="4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Houston</w:t>
            </w:r>
          </w:p>
        </w:tc>
        <w:tc>
          <w:tcPr>
            <w:tcW w:w="2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California 94103</w:t>
            </w:r>
          </w:p>
        </w:tc>
        <w:tc>
          <w:tcPr>
            <w:tcW w:w="4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London</w:t>
            </w:r>
          </w:p>
        </w:tc>
        <w:tc>
          <w:tcPr>
            <w:tcW w:w="2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5100" w:type="dxa"/>
            <w:vAlign w:val="bottom"/>
          </w:tcPr>
          <w:p>
            <w:pPr>
              <w:spacing w:after="0"/>
              <w:rPr>
                <w:sz w:val="18"/>
                <w:szCs w:val="18"/>
                <w:color w:val="auto"/>
              </w:rPr>
            </w:pPr>
          </w:p>
        </w:tc>
        <w:tc>
          <w:tcPr>
            <w:tcW w:w="4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Los Angeles</w:t>
            </w:r>
          </w:p>
        </w:tc>
        <w:tc>
          <w:tcPr>
            <w:tcW w:w="2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Tokyo</w:t>
            </w:r>
          </w:p>
        </w:tc>
      </w:tr>
      <w:tr>
        <w:trPr>
          <w:trHeight w:val="234"/>
        </w:trPr>
        <w:tc>
          <w:tcPr>
            <w:tcW w:w="5100" w:type="dxa"/>
            <w:vAlign w:val="bottom"/>
          </w:tcPr>
          <w:p>
            <w:pPr>
              <w:spacing w:after="0"/>
              <w:rPr>
                <w:sz w:val="20"/>
                <w:szCs w:val="20"/>
                <w:color w:val="auto"/>
              </w:rPr>
            </w:pPr>
          </w:p>
        </w:tc>
        <w:tc>
          <w:tcPr>
            <w:tcW w:w="4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Madrid</w:t>
            </w:r>
          </w:p>
        </w:tc>
        <w:tc>
          <w:tcPr>
            <w:tcW w:w="2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Washington, D.C.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-1919605</wp:posOffset>
            </wp:positionV>
            <wp:extent cx="3017520" cy="274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1">
                      <a:extLst>
                        <a:ext uri="{28A0092B-C50C-407E-A947-70E740481C1C}"/>
                      </a:extLst>
                    </a:blip>
                    <a:srcRect/>
                    <a:stretch>
                      <a:fillRect/>
                    </a:stretch>
                  </pic:blipFill>
                  <pic:spPr bwMode="auto">
                    <a:xfrm>
                      <a:off x="0" y="0"/>
                      <a:ext cx="3017520" cy="274320"/>
                    </a:xfrm>
                    <a:prstGeom prst="rect">
                      <a:avLst/>
                    </a:prstGeom>
                    <a:noFill/>
                  </pic:spPr>
                </pic:pic>
              </a:graphicData>
            </a:graphic>
          </wp:anchor>
        </w:drawing>
      </w:r>
    </w:p>
    <w:p>
      <w:pPr>
        <w:ind w:left="7880"/>
        <w:spacing w:after="0"/>
        <w:rPr>
          <w:sz w:val="20"/>
          <w:szCs w:val="20"/>
          <w:color w:val="auto"/>
        </w:rPr>
      </w:pPr>
      <w:r>
        <w:rPr>
          <w:rFonts w:ascii="Times New Roman" w:cs="Times New Roman" w:eastAsia="Times New Roman" w:hAnsi="Times New Roman"/>
          <w:sz w:val="18"/>
          <w:szCs w:val="18"/>
          <w:color w:val="auto"/>
        </w:rPr>
        <w:t>Milan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Opendoor Technologies Inc. – Registration Statement on Form S-1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acted as special counsel to Opendoor Technologies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its filing on the date hereof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a registration statement on Form S-1 (as amended,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relating to the registration of (i) the offer and sale from time to time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309,733,372 outstanding shares (the “</w:t>
      </w:r>
      <w:r>
        <w:rPr>
          <w:rFonts w:ascii="Times New Roman" w:cs="Times New Roman" w:eastAsia="Times New Roman" w:hAnsi="Times New Roman"/>
          <w:sz w:val="18"/>
          <w:szCs w:val="18"/>
          <w:b w:val="1"/>
          <w:bCs w:val="1"/>
          <w:i w:val="1"/>
          <w:iCs w:val="1"/>
          <w:color w:val="auto"/>
        </w:rPr>
        <w:t>Resale Shares</w:t>
      </w:r>
      <w:r>
        <w:rPr>
          <w:rFonts w:ascii="Times New Roman" w:cs="Times New Roman" w:eastAsia="Times New Roman" w:hAnsi="Times New Roman"/>
          <w:sz w:val="18"/>
          <w:szCs w:val="18"/>
          <w:color w:val="auto"/>
        </w:rPr>
        <w:t>”) of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and (b) 6,133,333 warrants (the “</w:t>
      </w:r>
      <w:r>
        <w:rPr>
          <w:rFonts w:ascii="Times New Roman" w:cs="Times New Roman" w:eastAsia="Times New Roman" w:hAnsi="Times New Roman"/>
          <w:sz w:val="18"/>
          <w:szCs w:val="18"/>
          <w:b w:val="1"/>
          <w:bCs w:val="1"/>
          <w:i w:val="1"/>
          <w:iCs w:val="1"/>
          <w:color w:val="auto"/>
        </w:rPr>
        <w:t>Resale Warrants</w:t>
      </w:r>
      <w:r>
        <w:rPr>
          <w:rFonts w:ascii="Times New Roman" w:cs="Times New Roman" w:eastAsia="Times New Roman" w:hAnsi="Times New Roman"/>
          <w:sz w:val="18"/>
          <w:szCs w:val="18"/>
          <w:color w:val="auto"/>
        </w:rPr>
        <w:t>”) to acquire shares of common stock, in each case, by the selling securityholders named in the Registration Statement, (ii) the offer and sale from time to time of 71,799,806 shares of common stock (the “</w:t>
      </w:r>
      <w:r>
        <w:rPr>
          <w:rFonts w:ascii="Times New Roman" w:cs="Times New Roman" w:eastAsia="Times New Roman" w:hAnsi="Times New Roman"/>
          <w:sz w:val="18"/>
          <w:szCs w:val="18"/>
          <w:b w:val="1"/>
          <w:bCs w:val="1"/>
          <w:i w:val="1"/>
          <w:iCs w:val="1"/>
          <w:color w:val="auto"/>
        </w:rPr>
        <w:t>Equity Award Shares</w:t>
      </w:r>
      <w:r>
        <w:rPr>
          <w:rFonts w:ascii="Times New Roman" w:cs="Times New Roman" w:eastAsia="Times New Roman" w:hAnsi="Times New Roman"/>
          <w:sz w:val="18"/>
          <w:szCs w:val="18"/>
          <w:color w:val="auto"/>
        </w:rPr>
        <w:t>”) issuable upon the exercise of options to purchase shares of common stock and the settlement of restricted stock units, in each case, issuable under the Company’s 2014 Stock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(iii) the issuance by the Company of up to 19,933,333 shares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of common stock upon the exercise of warrants to purchase shares of common stock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This opinion is being furnished in connection with the requirements of Item 601(b)(5) of Regulation S-K under the Act, and no opinion is expressed herein as to any matter pertaining to the contents of the Registration Statement or related prospectus or prospectus supplement (collectively,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other than as expressly stated herein with respect to the issue of Resale Shares, the Resale Warrants, the Equity Award Shares and the Warrant Shares.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with respect to the opinions set forth in paragraph 3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January 14,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25984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3">
                      <a:extLst>
                        <a:ext uri="{28A0092B-C50C-407E-A947-70E740481C1C}"/>
                      </a:extLst>
                    </a:blip>
                    <a:srcRect/>
                    <a:stretch>
                      <a:fillRect/>
                    </a:stretch>
                  </pic:blipFill>
                  <pic:spPr bwMode="auto">
                    <a:xfrm>
                      <a:off x="0" y="0"/>
                      <a:ext cx="12598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w:t>
      </w:r>
    </w:p>
    <w:p>
      <w:pPr>
        <w:spacing w:after="0" w:line="225" w:lineRule="exact"/>
        <w:rPr>
          <w:sz w:val="20"/>
          <w:szCs w:val="20"/>
          <w:color w:val="auto"/>
        </w:rPr>
      </w:pPr>
    </w:p>
    <w:p>
      <w:pPr>
        <w:ind w:left="1300" w:right="20" w:hanging="320"/>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Shares have been duly authorized by all necessary corporate action of the Company and are validly issued, fully paid and nonassessable.</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4"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Equity Award Shares have been duly registered on the books of the transfer agent and registrar therefor in the name or on behalf of the recipients thereof, and have been issued by the Company in the circumstances contemplated by and pursuant to the Plan and assuming in each case that the individual issuances, grants or awards under the Plan are duly authorized by all necessary corporate action and duly issued, granted or awarded and exercised in accordance with the requirements of law and the Plan (and the agreements and awards duly adopted thereunder and in accordance therewith), the issue and sale of the Equity Award Shares will have been duly authorized by all necessary corporate action of the Company and will be validly issued, fully paid and nonassessable. In rendering the foregoing opinion, we have assumed that the Company will comply with all applicable notice requirements regarding uncertificated shares provided in the DGCL.</w:t>
      </w:r>
    </w:p>
    <w:p>
      <w:pPr>
        <w:spacing w:after="0" w:line="19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Warrants are the legally valid and binding obligations of the Company, enforceable against the Company in accordance with their terms.</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Warrant Shares shall have been duly registered on the books of the transfer agent and registrar therefor in the name of or on behalf of the Warrant holders and have been issued by the Company against payment therefor (not less than par value) in the circumstances contemplated by the Warrants, the Warrant Shares will have been duly authorized by all necessary corporate action of the Company and will be validly issued, fully paid and nonassessable. In rendering the foregoing opinion, we have assumed that the Company will comply with all applicable notice requirements regarding uncertificated shares provided in the DGCL.</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opinions set forth in numbered paragraph 3 are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the creation, validity, attachment, perfection, or priority of any lien or security interest, (f) advance waivers of claims, defenses, rights granted by law, or notice, opportunity for hearing, evidentiary requirements, statutes of limitation, trial by jury or at law, or other procedural rights, (g) waivers of broadly or vaguely stated rights, (h) provisions for exclusivity, election or cumulation of rights or remedies, (i) provisions authorizing or validating conclusive or discretionary determinations,</w:t>
      </w:r>
    </w:p>
    <w:p>
      <w:pPr>
        <w:spacing w:after="0" w:line="2" w:lineRule="exact"/>
        <w:rPr>
          <w:sz w:val="20"/>
          <w:szCs w:val="20"/>
          <w:color w:val="auto"/>
        </w:rPr>
      </w:pPr>
    </w:p>
    <w:p>
      <w:pPr>
        <w:ind w:firstLine="8"/>
        <w:spacing w:after="0" w:line="260" w:lineRule="auto"/>
        <w:tabs>
          <w:tab w:leader="none" w:pos="2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setoff rights, (k) proxies, powers and trusts, (l) provisions prohibiting, restricting, or requiring consent to assignment or transfer of any right or property, and (m) the severability, if invalid, of provisions to the foregoing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January 14,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25984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5">
                      <a:extLst>
                        <a:ext uri="{28A0092B-C50C-407E-A947-70E740481C1C}"/>
                      </a:extLst>
                    </a:blip>
                    <a:srcRect/>
                    <a:stretch>
                      <a:fillRect/>
                    </a:stretch>
                  </pic:blipFill>
                  <pic:spPr bwMode="auto">
                    <a:xfrm>
                      <a:off x="0" y="0"/>
                      <a:ext cx="12598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your consent, we have assumed (a) that the Warrants and the warrant agreement, dated April 27, 2020, between the Company and Continental Stock Transfer &amp; Trust Company, as warrant agent, relating to the Warrants, have been duly authorized, executed and delivered by the parties thereto other than the Company, (b) that such securities constitute or will constitute legally valid and binding obligations of the parties thereto other than the Company, enforceable against each of them in accordance with their respective terms and (c) that the status of the Warrants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
    <w:nsid w:val="6B68079A"/>
    <w:multiLevelType w:val="hybridMultilevel"/>
    <w:lvl w:ilvl="0">
      <w:lvlJc w:val="left"/>
      <w:lvlText w:val="(%1)"/>
      <w:numFmt w:val="lowerLetter"/>
      <w:start w:val="61"/>
    </w:lvl>
    <w:lvl w:ilvl="1">
      <w:lvlJc w:val="left"/>
      <w:lvlText w:val="%2"/>
      <w:numFmt w:val="lowerRoman"/>
      <w:start w:val="1"/>
    </w:lvl>
    <w:lvl w:ilvl="2">
      <w:lvlJc w:val="left"/>
      <w:lvlText w:val="%3"/>
      <w:numFmt w:val="lowerLetter"/>
      <w:start w:val="1"/>
    </w:lvl>
  </w:abstractNum>
  <w:abstractNum w:abstractNumId="3">
    <w:nsid w:val="4E6AFB66"/>
    <w:multiLevelType w:val="hybridMultilevel"/>
    <w:lvl w:ilvl="0">
      <w:lvlJc w:val="left"/>
      <w:lvlText w:val="(%1)"/>
      <w:numFmt w:val="lowerLetter"/>
      <w:start w:val="61"/>
    </w:lvl>
    <w:lvl w:ilvl="1">
      <w:lvlJc w:val="left"/>
      <w:lvlText w:val="(%2)"/>
      <w:numFmt w:val="lowerRoman"/>
      <w:start w:val="2"/>
    </w:lvl>
    <w:lvl w:ilvl="2">
      <w:lvlJc w:val="left"/>
      <w:lvlText w:val="%3"/>
      <w:numFmt w:val="lowerLetter"/>
      <w:start w:val="1"/>
    </w:lvl>
  </w:abstractNum>
  <w:abstractNum w:abstractNumId="4">
    <w:nsid w:val="25E45D32"/>
    <w:multiLevelType w:val="hybridMultilevel"/>
    <w:lvl w:ilvl="0">
      <w:lvlJc w:val="left"/>
      <w:lvlText w:val="(%1)"/>
      <w:numFmt w:val="lowerLetter"/>
      <w:start w:val="9"/>
    </w:lvl>
    <w:lvl w:ilvl="1">
      <w:lvlJc w:val="left"/>
      <w:lvlText w:val="(%2)"/>
      <w:numFmt w:val="lowerRoman"/>
      <w:start w:val="3"/>
    </w:lvl>
    <w:lvl w:ilvl="2">
      <w:lvlJc w:val="left"/>
      <w:lvlText w:val="(%3)"/>
      <w:numFmt w:val="lowerLetter"/>
      <w:start w:val="1"/>
    </w:lvl>
  </w:abstractNum>
  <w:abstractNum w:abstractNumId="5">
    <w:nsid w:val="519B500D"/>
    <w:multiLevelType w:val="hybridMultilevel"/>
    <w:lvl w:ilvl="0">
      <w:lvlJc w:val="left"/>
      <w:lvlText w:val="%1"/>
      <w:numFmt w:val="decimal"/>
      <w:start w:val="1"/>
    </w:lvl>
    <w:lvl w:ilvl="1">
      <w:lvlJc w:val="left"/>
      <w:lvlText w:val="(%2)"/>
      <w:numFmt w:val="lowerLetter"/>
      <w:start w:val="2"/>
    </w:lvl>
  </w:abstractNum>
  <w:abstractNum w:abstractNumId="6">
    <w:nsid w:val="431BD7B7"/>
    <w:multiLevelType w:val="hybridMultilevel"/>
    <w:lvl w:ilvl="0">
      <w:lvlJc w:val="left"/>
      <w:lvlText w:val="(%1)"/>
      <w:numFmt w:val="decimal"/>
      <w:start w:val="3"/>
    </w:lvl>
    <w:lvl w:ilvl="1">
      <w:lvlJc w:val="left"/>
      <w:lvlText w:val="%2"/>
      <w:numFmt w:val="lowerLetter"/>
      <w:start w:val="1"/>
    </w:lvl>
  </w:abstractNum>
  <w:abstractNum w:abstractNumId="7">
    <w:nsid w:val="3F2DBA31"/>
    <w:multiLevelType w:val="hybridMultilevel"/>
    <w:lvl w:ilvl="0">
      <w:lvlJc w:val="left"/>
      <w:lvlText w:val="(%1)"/>
      <w:numFmt w:val="lowerLetter"/>
      <w:start w:val="3"/>
    </w:lvl>
  </w:abstractNum>
  <w:abstractNum w:abstractNumId="8">
    <w:nsid w:val="7C83E458"/>
    <w:multiLevelType w:val="hybridMultilevel"/>
    <w:lvl w:ilvl="0">
      <w:lvlJc w:val="left"/>
      <w:lvlText w:val="(%1)"/>
      <w:numFmt w:val="lowerRoman"/>
      <w:start w:val="4"/>
    </w:lvl>
  </w:abstractNum>
  <w:abstractNum w:abstractNumId="9">
    <w:nsid w:val="257130A3"/>
    <w:multiLevelType w:val="hybridMultilevel"/>
    <w:lvl w:ilvl="0">
      <w:lvlJc w:val="left"/>
      <w:lvlText w:val="(%1)"/>
      <w:numFmt w:val="lowerRoman"/>
      <w:start w:val="6"/>
    </w:lvl>
  </w:abstractNum>
  <w:abstractNum w:abstractNumId="10">
    <w:nsid w:val="62BBD95A"/>
    <w:multiLevelType w:val="hybridMultilevel"/>
    <w:lvl w:ilvl="0">
      <w:lvlJc w:val="left"/>
      <w:lvlText w:val="(%1)"/>
      <w:numFmt w:val="lowerRoman"/>
      <w:start w:val="1"/>
    </w:lvl>
  </w:abstractNum>
  <w:abstractNum w:abstractNumId="11">
    <w:nsid w:val="436C6125"/>
    <w:multiLevelType w:val="hybridMultilevel"/>
    <w:lvl w:ilvl="0">
      <w:lvlJc w:val="left"/>
      <w:lvlText w:val="%1"/>
      <w:numFmt w:val="lowerLetter"/>
      <w:start w:val="1"/>
    </w:lvl>
    <w:lvl w:ilvl="1">
      <w:lvlJc w:val="left"/>
      <w:lvlText w:val="(%2)"/>
      <w:numFmt w:val="lowerLetter"/>
      <w:start w:val="1"/>
    </w:lvl>
  </w:abstractNum>
  <w:abstractNum w:abstractNumId="12">
    <w:nsid w:val="628C895D"/>
    <w:multiLevelType w:val="hybridMultilevel"/>
    <w:lvl w:ilvl="0">
      <w:lvlJc w:val="left"/>
      <w:lvlText w:val="(%1)"/>
      <w:numFmt w:val="lowerLetter"/>
      <w:start w:val="9"/>
    </w:lvl>
    <w:lvl w:ilvl="1">
      <w:lvlJc w:val="left"/>
      <w:lvlText w:val="%2"/>
      <w:numFmt w:val="lowerLetter"/>
      <w:start w:val="1"/>
    </w:lvl>
  </w:abstractNum>
  <w:abstractNum w:abstractNumId="13">
    <w:nsid w:val="333AB105"/>
    <w:multiLevelType w:val="hybridMultilevel"/>
    <w:lvl w:ilvl="0">
      <w:lvlJc w:val="left"/>
      <w:lvlText w:val="(%1)"/>
      <w:numFmt w:val="lowerLetter"/>
      <w:start w:val="61"/>
    </w:lvl>
    <w:lvl w:ilvl="1">
      <w:lvlJc w:val="left"/>
      <w:lvlText w:val="(%2)"/>
      <w:numFmt w:val="lowerLetter"/>
      <w:start w:val="1"/>
    </w:lvl>
  </w:abstractNum>
  <w:abstractNum w:abstractNumId="14">
    <w:nsid w:val="721DA317"/>
    <w:multiLevelType w:val="hybridMultilevel"/>
    <w:lvl w:ilvl="0">
      <w:lvlJc w:val="left"/>
      <w:lvlText w:val="(%1)"/>
      <w:numFmt w:val="lowerRoman"/>
      <w:start w:val="4"/>
    </w:lvl>
  </w:abstractNum>
  <w:abstractNum w:abstractNumId="15">
    <w:nsid w:val="2443A858"/>
    <w:multiLevelType w:val="hybridMultilevel"/>
    <w:lvl w:ilvl="0">
      <w:lvlJc w:val="left"/>
      <w:lvlText w:val="(%1)"/>
      <w:numFmt w:val="lowerRoman"/>
      <w:start w:val="1"/>
    </w:lvl>
  </w:abstractNum>
  <w:abstractNum w:abstractNumId="16">
    <w:nsid w:val="2D1D5AE9"/>
    <w:multiLevelType w:val="hybridMultilevel"/>
    <w:lvl w:ilvl="0">
      <w:lvlJc w:val="left"/>
      <w:lvlText w:val="(%1)"/>
      <w:numFmt w:val="lowerRoman"/>
      <w:start w:val="5"/>
    </w:lvl>
  </w:abstractNum>
  <w:abstractNum w:abstractNumId="17">
    <w:nsid w:val="6763845E"/>
    <w:multiLevelType w:val="hybridMultilevel"/>
    <w:lvl w:ilvl="0">
      <w:lvlJc w:val="left"/>
      <w:lvlText w:val="(%1)"/>
      <w:numFmt w:val="lowerRoman"/>
      <w:start w:val="1"/>
    </w:lvl>
  </w:abstractNum>
  <w:abstractNum w:abstractNumId="18">
    <w:nsid w:val="75A2A8D4"/>
    <w:multiLevelType w:val="hybridMultilevel"/>
    <w:lvl w:ilvl="0">
      <w:lvlJc w:val="left"/>
      <w:lvlText w:val="(%1)"/>
      <w:numFmt w:val="lowerRoman"/>
      <w:start w:val="1"/>
    </w:lvl>
  </w:abstractNum>
  <w:abstractNum w:abstractNumId="19">
    <w:nsid w:val="8EDBDAB"/>
    <w:multiLevelType w:val="hybridMultilevel"/>
    <w:lvl w:ilvl="0">
      <w:lvlJc w:val="left"/>
      <w:lvlText w:val="(%1)"/>
      <w:numFmt w:val="lowerRoman"/>
      <w:start w:val="1"/>
    </w:lvl>
  </w:abstractNum>
  <w:abstractNum w:abstractNumId="20">
    <w:nsid w:val="79838CB2"/>
    <w:multiLevelType w:val="hybridMultilevel"/>
    <w:lvl w:ilvl="0">
      <w:lvlJc w:val="left"/>
      <w:lvlText w:val="(%1)"/>
      <w:numFmt w:val="lowerRoman"/>
      <w:start w:val="1"/>
    </w:lvl>
  </w:abstractNum>
  <w:abstractNum w:abstractNumId="21">
    <w:nsid w:val="4353D0CD"/>
    <w:multiLevelType w:val="hybridMultilevel"/>
    <w:lvl w:ilvl="0">
      <w:lvlJc w:val="left"/>
      <w:lvlText w:val="(%1)"/>
      <w:numFmt w:val="lowerRoman"/>
      <w:start w:val="2"/>
    </w:lvl>
  </w:abstractNum>
  <w:abstractNum w:abstractNumId="22">
    <w:nsid w:val="B03E0C6"/>
    <w:multiLevelType w:val="hybridMultilevel"/>
    <w:lvl w:ilvl="0">
      <w:lvlJc w:val="left"/>
      <w:lvlText w:val="(%1)"/>
      <w:numFmt w:val="lowerRoman"/>
      <w:start w:val="3"/>
    </w:lvl>
  </w:abstractNum>
  <w:abstractNum w:abstractNumId="23">
    <w:nsid w:val="189A769B"/>
    <w:multiLevelType w:val="hybridMultilevel"/>
    <w:lvl w:ilvl="0">
      <w:lvlJc w:val="left"/>
      <w:lvlText w:val="(%1)"/>
      <w:numFmt w:val="lowerRoman"/>
      <w:start w:val="1"/>
    </w:lvl>
    <w:lvl w:ilvl="1">
      <w:lvlJc w:val="left"/>
      <w:lvlText w:val="(%2)"/>
      <w:numFmt w:val="lowerLetter"/>
      <w:start w:val="1"/>
    </w:lvl>
  </w:abstractNum>
  <w:abstractNum w:abstractNumId="24">
    <w:nsid w:val="54E49EB4"/>
    <w:multiLevelType w:val="hybridMultilevel"/>
    <w:lvl w:ilvl="0">
      <w:lvlJc w:val="left"/>
      <w:lvlText w:val="(%1)"/>
      <w:numFmt w:val="lowerLetter"/>
      <w:start w:val="2"/>
    </w:lvl>
  </w:abstractNum>
  <w:abstractNum w:abstractNumId="25">
    <w:nsid w:val="71F32454"/>
    <w:multiLevelType w:val="hybridMultilevel"/>
    <w:lvl w:ilvl="0">
      <w:lvlJc w:val="left"/>
      <w:lvlText w:val="(%1)"/>
      <w:numFmt w:val="lowerRoman"/>
      <w:start w:val="1"/>
    </w:lvl>
  </w:abstractNum>
  <w:abstractNum w:abstractNumId="26">
    <w:nsid w:val="2CA88611"/>
    <w:multiLevelType w:val="hybridMultilevel"/>
    <w:lvl w:ilvl="0">
      <w:lvlJc w:val="left"/>
      <w:lvlText w:val="(%1)"/>
      <w:numFmt w:val="lowerRoman"/>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3" Type="http://schemas.openxmlformats.org/officeDocument/2006/relationships/image" Target="media/image13.png"/><Relationship Id="rId50" Type="http://schemas.openxmlformats.org/officeDocument/2006/relationships/image" Target="media/image14.png"/><Relationship Id="rId55" Type="http://schemas.openxmlformats.org/officeDocument/2006/relationships/image" Target="media/image15.png"/><Relationship Id="rId56" Type="http://schemas.openxmlformats.org/officeDocument/2006/relationships/image" Target="media/image16.png"/><Relationship Id="rId57" Type="http://schemas.openxmlformats.org/officeDocument/2006/relationships/image" Target="media/image17.png"/><Relationship Id="rId58" Type="http://schemas.openxmlformats.org/officeDocument/2006/relationships/image" Target="media/image18.png"/><Relationship Id="rId59" Type="http://schemas.openxmlformats.org/officeDocument/2006/relationships/image" Target="media/image19.png"/><Relationship Id="rId60" Type="http://schemas.openxmlformats.org/officeDocument/2006/relationships/image" Target="media/image20.png"/><Relationship Id="rId61" Type="http://schemas.openxmlformats.org/officeDocument/2006/relationships/image" Target="media/image21.png"/><Relationship Id="rId62" Type="http://schemas.openxmlformats.org/officeDocument/2006/relationships/image" Target="media/image22.png"/><Relationship Id="rId63" Type="http://schemas.openxmlformats.org/officeDocument/2006/relationships/image" Target="media/image23.png"/><Relationship Id="rId64" Type="http://schemas.openxmlformats.org/officeDocument/2006/relationships/image" Target="media/image24.png"/><Relationship Id="rId65" Type="http://schemas.openxmlformats.org/officeDocument/2006/relationships/image" Target="media/image25.png"/><Relationship Id="rId66" Type="http://schemas.openxmlformats.org/officeDocument/2006/relationships/image" Target="media/image26.png"/><Relationship Id="rId67" Type="http://schemas.openxmlformats.org/officeDocument/2006/relationships/image" Target="media/image27.png"/><Relationship Id="rId68" Type="http://schemas.openxmlformats.org/officeDocument/2006/relationships/image" Target="media/image28.png"/><Relationship Id="rId69" Type="http://schemas.openxmlformats.org/officeDocument/2006/relationships/image" Target="media/image29.png"/><Relationship Id="rId70" Type="http://schemas.openxmlformats.org/officeDocument/2006/relationships/image" Target="media/image30.png"/><Relationship Id="rId71" Type="http://schemas.openxmlformats.org/officeDocument/2006/relationships/image" Target="media/image31.png"/><Relationship Id="rId72" Type="http://schemas.openxmlformats.org/officeDocument/2006/relationships/image" Target="media/image32.png"/><Relationship Id="rId73" Type="http://schemas.openxmlformats.org/officeDocument/2006/relationships/image" Target="media/image33.png"/><Relationship Id="rId74" Type="http://schemas.openxmlformats.org/officeDocument/2006/relationships/image" Target="media/image34.png"/><Relationship Id="rId75" Type="http://schemas.openxmlformats.org/officeDocument/2006/relationships/image" Target="media/image35.png"/><Relationship Id="rId76" Type="http://schemas.openxmlformats.org/officeDocument/2006/relationships/image" Target="media/image36.png"/><Relationship Id="rId77" Type="http://schemas.openxmlformats.org/officeDocument/2006/relationships/image" Target="media/image37.png"/><Relationship Id="rId78" Type="http://schemas.openxmlformats.org/officeDocument/2006/relationships/image" Target="media/image38.png"/><Relationship Id="rId79" Type="http://schemas.openxmlformats.org/officeDocument/2006/relationships/image" Target="media/image39.png"/><Relationship Id="rId80" Type="http://schemas.openxmlformats.org/officeDocument/2006/relationships/image" Target="media/image40.png"/><Relationship Id="rId81" Type="http://schemas.openxmlformats.org/officeDocument/2006/relationships/image" Target="media/image41.png"/><Relationship Id="rId82" Type="http://schemas.openxmlformats.org/officeDocument/2006/relationships/image" Target="media/image42.png"/><Relationship Id="rId83" Type="http://schemas.openxmlformats.org/officeDocument/2006/relationships/image" Target="media/image43.png"/><Relationship Id="rId84" Type="http://schemas.openxmlformats.org/officeDocument/2006/relationships/image" Target="media/image44.png"/><Relationship Id="rId85" Type="http://schemas.openxmlformats.org/officeDocument/2006/relationships/image" Target="media/image45.png"/><Relationship Id="rId86"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93" Type="http://schemas.openxmlformats.org/officeDocument/2006/relationships/image" Target="media/image53.png"/><Relationship Id="rId94" Type="http://schemas.openxmlformats.org/officeDocument/2006/relationships/image" Target="media/image54.png"/><Relationship Id="rId95" Type="http://schemas.openxmlformats.org/officeDocument/2006/relationships/image" Target="media/image55.png"/><Relationship Id="rId96" Type="http://schemas.openxmlformats.org/officeDocument/2006/relationships/image" Target="media/image56.png"/><Relationship Id="rId97" Type="http://schemas.openxmlformats.org/officeDocument/2006/relationships/image" Target="media/image57.png"/><Relationship Id="rId98" Type="http://schemas.openxmlformats.org/officeDocument/2006/relationships/image" Target="media/image58.png"/><Relationship Id="rId99" Type="http://schemas.openxmlformats.org/officeDocument/2006/relationships/image" Target="media/image59.png"/><Relationship Id="rId100" Type="http://schemas.openxmlformats.org/officeDocument/2006/relationships/image" Target="media/image60.png"/><Relationship Id="rId101" Type="http://schemas.openxmlformats.org/officeDocument/2006/relationships/image" Target="media/image61.jpeg"/><Relationship Id="rId102" Type="http://schemas.openxmlformats.org/officeDocument/2006/relationships/image" Target="media/image62.png"/><Relationship Id="rId103" Type="http://schemas.openxmlformats.org/officeDocument/2006/relationships/image" Target="media/image63.jpeg"/><Relationship Id="rId104" Type="http://schemas.openxmlformats.org/officeDocument/2006/relationships/image" Target="media/image64.png"/><Relationship Id="rId105" Type="http://schemas.openxmlformats.org/officeDocument/2006/relationships/image" Target="media/image65.jpeg"/><Relationship Id="rId106" Type="http://schemas.openxmlformats.org/officeDocument/2006/relationships/image" Target="media/image66.png"/><Relationship Id="rId20" Type="http://schemas.openxmlformats.org/officeDocument/2006/relationships/hyperlink" Target="http://www.sec.gov/Archives/edgar/data/1801169/000110465920105791/tm2030935d1_ex2-1.htm" TargetMode="External"/><Relationship Id="rId21" Type="http://schemas.openxmlformats.org/officeDocument/2006/relationships/hyperlink" Target="http://www.sec.gov/Archives/edgar/data/1801169/000110465920137517/tm2038661d2_ex3-1.htm" TargetMode="External"/><Relationship Id="rId22" Type="http://schemas.openxmlformats.org/officeDocument/2006/relationships/hyperlink" Target="http://www.sec.gov/Archives/edgar/data/1801169/000110465920054449/tm2017926d1_ex4-1.htm" TargetMode="External"/><Relationship Id="rId23" Type="http://schemas.openxmlformats.org/officeDocument/2006/relationships/hyperlink" Target="http://www.sec.gov/Archives/edgar/data/1801169/000110465920122215/tm2030455d5_ex4-5.htm" TargetMode="External"/><Relationship Id="rId24" Type="http://schemas.openxmlformats.org/officeDocument/2006/relationships/hyperlink" Target="http://www.sec.gov/Archives/edgar/data/1801169/000110465920105791/tm2030935d1_ex10-2.htm" TargetMode="External"/><Relationship Id="rId25" Type="http://schemas.openxmlformats.org/officeDocument/2006/relationships/hyperlink" Target="http://www.sec.gov/Archives/edgar/data/1801169/000110465920105791/tm2030935d1_ex10-3.htm" TargetMode="External"/><Relationship Id="rId26" Type="http://schemas.openxmlformats.org/officeDocument/2006/relationships/hyperlink" Target="http://www.sec.gov/Archives/edgar/data/1801169/000110465920105791/tm2030935d1_ex10-1.htm" TargetMode="External"/><Relationship Id="rId27" Type="http://schemas.openxmlformats.org/officeDocument/2006/relationships/hyperlink" Target="http://www.sec.gov/Archives/edgar/data/1801169/000110465920137517/tm2038661d2_ex10-14.htm" TargetMode="External"/><Relationship Id="rId28" Type="http://schemas.openxmlformats.org/officeDocument/2006/relationships/hyperlink" Target="http://www.sec.gov/Archives/edgar/data/1801169/000110465920112009/tm2030455d2_ex10-5.htm" TargetMode="External"/><Relationship Id="rId29" Type="http://schemas.openxmlformats.org/officeDocument/2006/relationships/hyperlink" Target="http://www.sec.gov/Archives/edgar/data/1801169/000110465920137517/tm2038661d2_ex10-1.htm" TargetMode="External"/><Relationship Id="rId30" Type="http://schemas.openxmlformats.org/officeDocument/2006/relationships/hyperlink" Target="http://www.sec.gov/Archives/edgar/data/1801169/000110465920112009/tm2030455d2_ex10-18.htm" TargetMode="External"/><Relationship Id="rId31" Type="http://schemas.openxmlformats.org/officeDocument/2006/relationships/hyperlink" Target="http://www.sec.gov/Archives/edgar/data/1801169/000110465920112009/tm2030455d2_ex10-19.htm" TargetMode="External"/><Relationship Id="rId32" Type="http://schemas.openxmlformats.org/officeDocument/2006/relationships/hyperlink" Target="http://www.sec.gov/Archives/edgar/data/1801169/000110465920129165/tm2030455d9_ex10-20.htm" TargetMode="External"/><Relationship Id="rId34" Type="http://schemas.openxmlformats.org/officeDocument/2006/relationships/hyperlink" Target="http://www.sec.gov/Archives/edgar/data/1801169/000110465920137517/tm2038661d2_ex10-3.htm" TargetMode="External"/><Relationship Id="rId35" Type="http://schemas.openxmlformats.org/officeDocument/2006/relationships/hyperlink" Target="http://www.sec.gov/Archives/edgar/data/1801169/000110465920112009/tm2030455d2_ex10-21.htm" TargetMode="External"/><Relationship Id="rId36" Type="http://schemas.openxmlformats.org/officeDocument/2006/relationships/hyperlink" Target="http://www.sec.gov/Archives/edgar/data/1801169/000110465920137517/tm2038661d2_ex10-4.htm" TargetMode="External"/><Relationship Id="rId37" Type="http://schemas.openxmlformats.org/officeDocument/2006/relationships/hyperlink" Target="http://www.sec.gov/Archives/edgar/data/1801169/000110465920129710/tm2030455d14_ex10-24.htm" TargetMode="External"/><Relationship Id="rId38" Type="http://schemas.openxmlformats.org/officeDocument/2006/relationships/hyperlink" Target="http://www.sec.gov/Archives/edgar/data/1801169/000110465920129710/tm2030455d14_ex10-25.htm" TargetMode="External"/><Relationship Id="rId39" Type="http://schemas.openxmlformats.org/officeDocument/2006/relationships/hyperlink" Target="http://www.sec.gov/Archives/edgar/data/1801169/000110465920129710/tm2030455d14_ex10-26.htm" TargetMode="External"/><Relationship Id="rId40" Type="http://schemas.openxmlformats.org/officeDocument/2006/relationships/hyperlink" Target="http://www.sec.gov/Archives/edgar/data/1801169/000110465920129710/tm2030455d14_ex10-27.htm" TargetMode="External"/><Relationship Id="rId41" Type="http://schemas.openxmlformats.org/officeDocument/2006/relationships/hyperlink" Target="http://www.sec.gov/Archives/edgar/data/1801169/000110465920129710/tm2030455d14_ex10-28.htm" TargetMode="External"/><Relationship Id="rId42" Type="http://schemas.openxmlformats.org/officeDocument/2006/relationships/hyperlink" Target="http://www.sec.gov/Archives/edgar/data/1801169/000110465920129710/tm2030455d14_ex10-29.htm" TargetMode="External"/><Relationship Id="rId43" Type="http://schemas.openxmlformats.org/officeDocument/2006/relationships/hyperlink" Target="http://www.sec.gov/Archives/edgar/data/1801169/000110465920129710/tm2030455d14_ex10-30.htm" TargetMode="External"/><Relationship Id="rId44" Type="http://schemas.openxmlformats.org/officeDocument/2006/relationships/hyperlink" Target="http://www.sec.gov/Archives/edgar/data/1801169/000110465920129710/tm2030455d14_ex10-31.htm" TargetMode="External"/><Relationship Id="rId45" Type="http://schemas.openxmlformats.org/officeDocument/2006/relationships/hyperlink" Target="http://www.sec.gov/Archives/edgar/data/1801169/000110465920129710/tm2030455d14_ex10-32.htm" TargetMode="External"/><Relationship Id="rId46" Type="http://schemas.openxmlformats.org/officeDocument/2006/relationships/hyperlink" Target="http://www.sec.gov/Archives/edgar/data/1801169/000110465920137517/tm2038661d2_ex10-12.htm" TargetMode="External"/><Relationship Id="rId47" Type="http://schemas.openxmlformats.org/officeDocument/2006/relationships/hyperlink" Target="http://www.sec.gov/Archives/edgar/data/1801169/000110465920137517/tm2038661d2_ex10-13.htm" TargetMode="External"/><Relationship Id="rId48" Type="http://schemas.openxmlformats.org/officeDocument/2006/relationships/hyperlink" Target="http://www.sec.gov/Archives/edgar/data/1801169/000110465921003598/tm2038271d9_ex10-24.htm" TargetMode="External"/><Relationship Id="rId49" Type="http://schemas.openxmlformats.org/officeDocument/2006/relationships/hyperlink" Target="http://www.sec.gov/Archives/edgar/data/1801169/000110465921003598/tm2038271d9_ex10-25.htm" TargetMode="External"/><Relationship Id="rId51" Type="http://schemas.openxmlformats.org/officeDocument/2006/relationships/hyperlink" Target="http://www.sec.gov/Archives/edgar/data/1801169/000110465920137517/tm2038661d2_ex21-1.htm" TargetMode="External"/><Relationship Id="rId52" Type="http://schemas.openxmlformats.org/officeDocument/2006/relationships/hyperlink" Target="http://www.sec.gov/Archives/edgar/data/1801169/000110465921003598/tm2038271d9_ex23-1.htm" TargetMode="External"/><Relationship Id="rId53" Type="http://schemas.openxmlformats.org/officeDocument/2006/relationships/hyperlink" Target="http://www.sec.gov/Archives/edgar/data/1801169/000110465921003598/tm2038271d9_ex23-2.htm" TargetMode="External"/><Relationship Id="rId54" Type="http://schemas.openxmlformats.org/officeDocument/2006/relationships/hyperlink" Target="http://www.sec.gov/Archives/edgar/data/1801169/000110465920137719/tm2038271-1_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2021-01-15T05:35:57Z</dcterms:created>
  <dcterms:modified xsi:type="dcterms:W3CDTF">2021-01-15T05:35:57Z</dcterms:modified>
</cp:coreProperties>
</file>