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Stevens Elizabeth Ann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POST STREET, FLOOR 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Opendoor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Head of Legal</w:t>
      </w:r>
    </w:p>
    <w:p>
      <w:pPr>
        <w:spacing w:after="0" w:line="333"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4"/>
          </w:tcPr>
          <w:p>
            <w:pPr>
              <w:ind w:left="160"/>
              <w:spacing w:after="0" w:line="173" w:lineRule="exact"/>
              <w:rPr>
                <w:sz w:val="20"/>
                <w:szCs w:val="20"/>
                <w:color w:val="auto"/>
              </w:rPr>
            </w:pPr>
            <w:r>
              <w:rPr>
                <w:rFonts w:ascii="Times New Roman" w:cs="Times New Roman" w:eastAsia="Times New Roman" w:hAnsi="Times New Roman"/>
                <w:sz w:val="17"/>
                <w:szCs w:val="17"/>
                <w:color w:val="0000FF"/>
              </w:rPr>
              <w:t>12/22/2020</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94104</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12/18/2020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518,446</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(2)</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518,446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vMerge w:val="continue"/>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485,505 restricted stock units subject to certain vesting conditions, as described in the award agreement(s) applicable to such restricted stock units. Each restricted stock unit represents a contingent right to receive one share of the Opendoor Technologies Inc.'s (the "Company's") Common Stock.</w:t>
      </w:r>
    </w:p>
    <w:p>
      <w:pPr>
        <w:spacing w:after="0" w:line="7" w:lineRule="exact"/>
        <w:rPr>
          <w:rFonts w:ascii="Times New Roman" w:cs="Times New Roman" w:eastAsia="Times New Roman" w:hAnsi="Times New Roman"/>
          <w:sz w:val="13"/>
          <w:szCs w:val="13"/>
          <w:color w:val="008000"/>
        </w:rPr>
      </w:pPr>
    </w:p>
    <w:p>
      <w:pPr>
        <w:ind w:left="40" w:right="40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consummation of the business combination of Social Capital Hedosophia Holdings Corp. II ("SCH") and Opendoor Labs Inc. (the "Business Combination"), SCH was domesticated, changing its name to Opendoor Technologies Inc. and each share of SCH Class A stock was automatically converted into the right to receive one share of the Company's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amendment is being filed to correct the number of restricted stock units of the Company acquired by the Reporting Person pursuant to the Business Combination.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Carrie Wheeler,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12/23/2020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6545" TargetMode="External"/><Relationship Id="rId14" Type="http://schemas.openxmlformats.org/officeDocument/2006/relationships/hyperlink" Target="http://www.sec.gov/cgi-bin/browse-edgar?action=getcompany&amp;CIK=0001801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2020-12-23T18:26:31Z</dcterms:created>
  <dcterms:modified xsi:type="dcterms:W3CDTF">2020-12-23T18:26:31Z</dcterms:modified>
</cp:coreProperties>
</file>