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Filed by Social Capital Hedosophia Holdings Corp. II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Pursuant to Rule 425 under the Securities Act of 1933</w:t>
      </w: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and deemed filed pursuant to Rule 14a-12</w:t>
      </w: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of the Securities Exchange Act of 1934</w:t>
      </w: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Subject Company: Opendoor</w:t>
      </w: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Commission File No. 001-39253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-709295</wp:posOffset>
            </wp:positionH>
            <wp:positionV relativeFrom="paragraph">
              <wp:posOffset>586105</wp:posOffset>
            </wp:positionV>
            <wp:extent cx="713994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99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20"/>
          </w:cols>
          <w:pgMar w:left="1440" w:top="446" w:right="339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204470</wp:posOffset>
            </wp:positionH>
            <wp:positionV relativeFrom="page">
              <wp:posOffset>1111250</wp:posOffset>
            </wp:positionV>
            <wp:extent cx="713994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99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204470</wp:posOffset>
            </wp:positionH>
            <wp:positionV relativeFrom="page">
              <wp:posOffset>1127125</wp:posOffset>
            </wp:positionV>
            <wp:extent cx="713994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99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204470</wp:posOffset>
            </wp:positionH>
            <wp:positionV relativeFrom="page">
              <wp:posOffset>1233170</wp:posOffset>
            </wp:positionV>
            <wp:extent cx="713994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99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204470</wp:posOffset>
            </wp:positionH>
            <wp:positionV relativeFrom="page">
              <wp:posOffset>1160145</wp:posOffset>
            </wp:positionV>
            <wp:extent cx="713994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99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204470</wp:posOffset>
            </wp:positionH>
            <wp:positionV relativeFrom="page">
              <wp:posOffset>1062355</wp:posOffset>
            </wp:positionV>
            <wp:extent cx="71399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99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204470</wp:posOffset>
            </wp:positionH>
            <wp:positionV relativeFrom="page">
              <wp:posOffset>1176020</wp:posOffset>
            </wp:positionV>
            <wp:extent cx="71399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99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204470</wp:posOffset>
            </wp:positionH>
            <wp:positionV relativeFrom="page">
              <wp:posOffset>973455</wp:posOffset>
            </wp:positionV>
            <wp:extent cx="71399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99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204470</wp:posOffset>
            </wp:positionH>
            <wp:positionV relativeFrom="page">
              <wp:posOffset>4559300</wp:posOffset>
            </wp:positionV>
            <wp:extent cx="713994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99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2020-09-16T05:12:03Z</dcterms:created>
  <dcterms:modified xsi:type="dcterms:W3CDTF">2020-09-16T05:12:03Z</dcterms:modified>
</cp:coreProperties>
</file>