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766445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740410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4100"/>
        <w:spacing w:after="0"/>
        <w:rPr>
          <w:sz w:val="20"/>
          <w:szCs w:val="20"/>
          <w:color w:val="auto"/>
        </w:rPr>
      </w:pPr>
      <w:r>
        <w:rPr>
          <w:rFonts w:ascii="Arial" w:cs="Arial" w:eastAsia="Arial" w:hAnsi="Arial"/>
          <w:sz w:val="18"/>
          <w:szCs w:val="18"/>
          <w:b w:val="1"/>
          <w:bCs w:val="1"/>
          <w:color w:val="auto"/>
        </w:rPr>
        <w:t>__________________________________</w:t>
      </w:r>
    </w:p>
    <w:p>
      <w:pPr>
        <w:spacing w:after="0" w:line="14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34" w:lineRule="exact"/>
        <w:rPr>
          <w:sz w:val="24"/>
          <w:szCs w:val="24"/>
          <w:color w:val="auto"/>
        </w:rPr>
      </w:pPr>
    </w:p>
    <w:p>
      <w:pPr>
        <w:ind w:left="4100"/>
        <w:spacing w:after="0"/>
        <w:rPr>
          <w:sz w:val="20"/>
          <w:szCs w:val="20"/>
          <w:color w:val="auto"/>
        </w:rPr>
      </w:pPr>
      <w:r>
        <w:rPr>
          <w:rFonts w:ascii="Arial" w:cs="Arial" w:eastAsia="Arial" w:hAnsi="Arial"/>
          <w:sz w:val="18"/>
          <w:szCs w:val="18"/>
          <w:b w:val="1"/>
          <w:bCs w:val="1"/>
          <w:color w:val="auto"/>
        </w:rPr>
        <w:t>__________________________________</w:t>
      </w:r>
    </w:p>
    <w:p>
      <w:pPr>
        <w:spacing w:after="0" w:line="15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15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July 26, 2021</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Opendoor Technologies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51" w:lineRule="exact"/>
        <w:rPr>
          <w:sz w:val="24"/>
          <w:szCs w:val="24"/>
          <w:color w:val="auto"/>
        </w:rPr>
      </w:pPr>
    </w:p>
    <w:tbl>
      <w:tblPr>
        <w:tblLayout w:type="fixed"/>
        <w:tblInd w:w="920" w:type="dxa"/>
        <w:tblCellMar>
          <w:top w:w="0" w:type="dxa"/>
          <w:left w:w="0" w:type="dxa"/>
          <w:bottom w:w="0" w:type="dxa"/>
          <w:right w:w="0" w:type="dxa"/>
        </w:tblCellMar>
      </w:tblPr>
      <w:tr>
        <w:trPr>
          <w:trHeight w:val="234"/>
        </w:trPr>
        <w:tc>
          <w:tcPr>
            <w:tcW w:w="2060" w:type="dxa"/>
            <w:vAlign w:val="bottom"/>
          </w:tcPr>
          <w:p>
            <w:pPr>
              <w:jc w:val="center"/>
              <w:ind w:right="70"/>
              <w:spacing w:after="0"/>
              <w:rPr>
                <w:sz w:val="20"/>
                <w:szCs w:val="20"/>
                <w:color w:val="auto"/>
              </w:rPr>
            </w:pPr>
            <w:r>
              <w:rPr>
                <w:rFonts w:ascii="Arial" w:cs="Arial" w:eastAsia="Arial" w:hAnsi="Arial"/>
                <w:sz w:val="18"/>
                <w:szCs w:val="18"/>
                <w:b w:val="1"/>
                <w:bCs w:val="1"/>
                <w:color w:val="auto"/>
                <w:w w:val="93"/>
              </w:rPr>
              <w:t>Delaware</w:t>
            </w:r>
          </w:p>
        </w:tc>
        <w:tc>
          <w:tcPr>
            <w:tcW w:w="5140" w:type="dxa"/>
            <w:vAlign w:val="bottom"/>
          </w:tcPr>
          <w:p>
            <w:pPr>
              <w:jc w:val="center"/>
              <w:ind w:left="30"/>
              <w:spacing w:after="0"/>
              <w:rPr>
                <w:sz w:val="20"/>
                <w:szCs w:val="20"/>
                <w:color w:val="auto"/>
              </w:rPr>
            </w:pPr>
            <w:r>
              <w:rPr>
                <w:rFonts w:ascii="Arial" w:cs="Arial" w:eastAsia="Arial" w:hAnsi="Arial"/>
                <w:sz w:val="18"/>
                <w:szCs w:val="18"/>
                <w:b w:val="1"/>
                <w:bCs w:val="1"/>
                <w:color w:val="auto"/>
                <w:w w:val="90"/>
              </w:rPr>
              <w:t>001-39253</w:t>
            </w:r>
          </w:p>
        </w:tc>
        <w:tc>
          <w:tcPr>
            <w:tcW w:w="1920" w:type="dxa"/>
            <w:vAlign w:val="bottom"/>
          </w:tcPr>
          <w:p>
            <w:pPr>
              <w:jc w:val="right"/>
              <w:ind w:right="150"/>
              <w:spacing w:after="0"/>
              <w:rPr>
                <w:sz w:val="20"/>
                <w:szCs w:val="20"/>
                <w:color w:val="auto"/>
              </w:rPr>
            </w:pPr>
            <w:r>
              <w:rPr>
                <w:rFonts w:ascii="Arial" w:cs="Arial" w:eastAsia="Arial" w:hAnsi="Arial"/>
                <w:sz w:val="18"/>
                <w:szCs w:val="18"/>
                <w:b w:val="1"/>
                <w:bCs w:val="1"/>
                <w:color w:val="auto"/>
              </w:rPr>
              <w:t>98-1515020</w:t>
            </w:r>
          </w:p>
        </w:tc>
      </w:tr>
      <w:tr>
        <w:trPr>
          <w:trHeight w:val="256"/>
        </w:trPr>
        <w:tc>
          <w:tcPr>
            <w:tcW w:w="2060" w:type="dxa"/>
            <w:vAlign w:val="bottom"/>
          </w:tcPr>
          <w:p>
            <w:pPr>
              <w:jc w:val="center"/>
              <w:ind w:right="70"/>
              <w:spacing w:after="0"/>
              <w:rPr>
                <w:sz w:val="20"/>
                <w:szCs w:val="20"/>
                <w:color w:val="auto"/>
              </w:rPr>
            </w:pPr>
            <w:r>
              <w:rPr>
                <w:rFonts w:ascii="Arial" w:cs="Arial" w:eastAsia="Arial" w:hAnsi="Arial"/>
                <w:sz w:val="18"/>
                <w:szCs w:val="18"/>
                <w:color w:val="auto"/>
                <w:w w:val="92"/>
              </w:rPr>
              <w:t>(State or other jurisdiction</w:t>
            </w:r>
          </w:p>
        </w:tc>
        <w:tc>
          <w:tcPr>
            <w:tcW w:w="5140" w:type="dxa"/>
            <w:vAlign w:val="bottom"/>
          </w:tcPr>
          <w:p>
            <w:pPr>
              <w:jc w:val="center"/>
              <w:ind w:left="30"/>
              <w:spacing w:after="0"/>
              <w:rPr>
                <w:sz w:val="20"/>
                <w:szCs w:val="20"/>
                <w:color w:val="auto"/>
              </w:rPr>
            </w:pPr>
            <w:r>
              <w:rPr>
                <w:rFonts w:ascii="Arial" w:cs="Arial" w:eastAsia="Arial" w:hAnsi="Arial"/>
                <w:sz w:val="18"/>
                <w:szCs w:val="18"/>
                <w:color w:val="auto"/>
                <w:w w:val="93"/>
              </w:rPr>
              <w:t>(Commission</w:t>
            </w:r>
          </w:p>
        </w:tc>
        <w:tc>
          <w:tcPr>
            <w:tcW w:w="1920" w:type="dxa"/>
            <w:vAlign w:val="bottom"/>
          </w:tcPr>
          <w:p>
            <w:pPr>
              <w:jc w:val="center"/>
              <w:ind w:left="470"/>
              <w:spacing w:after="0"/>
              <w:rPr>
                <w:sz w:val="20"/>
                <w:szCs w:val="20"/>
                <w:color w:val="auto"/>
              </w:rPr>
            </w:pPr>
            <w:r>
              <w:rPr>
                <w:rFonts w:ascii="Arial" w:cs="Arial" w:eastAsia="Arial" w:hAnsi="Arial"/>
                <w:sz w:val="18"/>
                <w:szCs w:val="18"/>
                <w:color w:val="auto"/>
                <w:w w:val="93"/>
              </w:rPr>
              <w:t>(I.R.S. Employer</w:t>
            </w:r>
          </w:p>
        </w:tc>
      </w:tr>
      <w:tr>
        <w:trPr>
          <w:trHeight w:val="230"/>
        </w:trPr>
        <w:tc>
          <w:tcPr>
            <w:tcW w:w="2060" w:type="dxa"/>
            <w:vAlign w:val="bottom"/>
          </w:tcPr>
          <w:p>
            <w:pPr>
              <w:jc w:val="center"/>
              <w:ind w:right="70"/>
              <w:spacing w:after="0"/>
              <w:rPr>
                <w:sz w:val="20"/>
                <w:szCs w:val="20"/>
                <w:color w:val="auto"/>
              </w:rPr>
            </w:pPr>
            <w:r>
              <w:rPr>
                <w:rFonts w:ascii="Arial" w:cs="Arial" w:eastAsia="Arial" w:hAnsi="Arial"/>
                <w:sz w:val="18"/>
                <w:szCs w:val="18"/>
                <w:color w:val="auto"/>
                <w:w w:val="93"/>
              </w:rPr>
              <w:t>of incorporation)</w:t>
            </w:r>
          </w:p>
        </w:tc>
        <w:tc>
          <w:tcPr>
            <w:tcW w:w="5140" w:type="dxa"/>
            <w:vAlign w:val="bottom"/>
          </w:tcPr>
          <w:p>
            <w:pPr>
              <w:jc w:val="center"/>
              <w:ind w:left="30"/>
              <w:spacing w:after="0"/>
              <w:rPr>
                <w:sz w:val="20"/>
                <w:szCs w:val="20"/>
                <w:color w:val="auto"/>
              </w:rPr>
            </w:pPr>
            <w:r>
              <w:rPr>
                <w:rFonts w:ascii="Arial" w:cs="Arial" w:eastAsia="Arial" w:hAnsi="Arial"/>
                <w:sz w:val="18"/>
                <w:szCs w:val="18"/>
                <w:color w:val="auto"/>
                <w:w w:val="94"/>
              </w:rPr>
              <w:t>File Number)</w:t>
            </w:r>
          </w:p>
        </w:tc>
        <w:tc>
          <w:tcPr>
            <w:tcW w:w="1920" w:type="dxa"/>
            <w:vAlign w:val="bottom"/>
          </w:tcPr>
          <w:p>
            <w:pPr>
              <w:jc w:val="center"/>
              <w:ind w:left="490"/>
              <w:spacing w:after="0"/>
              <w:rPr>
                <w:sz w:val="20"/>
                <w:szCs w:val="20"/>
                <w:color w:val="auto"/>
              </w:rPr>
            </w:pPr>
            <w:r>
              <w:rPr>
                <w:rFonts w:ascii="Arial" w:cs="Arial" w:eastAsia="Arial" w:hAnsi="Arial"/>
                <w:sz w:val="18"/>
                <w:szCs w:val="18"/>
                <w:color w:val="auto"/>
                <w:w w:val="95"/>
              </w:rPr>
              <w:t>Identification No.)</w:t>
            </w:r>
          </w:p>
        </w:tc>
      </w:tr>
      <w:tr>
        <w:trPr>
          <w:trHeight w:val="324"/>
        </w:trPr>
        <w:tc>
          <w:tcPr>
            <w:tcW w:w="7200" w:type="dxa"/>
            <w:vAlign w:val="bottom"/>
            <w:gridSpan w:val="2"/>
          </w:tcPr>
          <w:p>
            <w:pPr>
              <w:jc w:val="center"/>
              <w:ind w:right="1450"/>
              <w:spacing w:after="0"/>
              <w:rPr>
                <w:sz w:val="20"/>
                <w:szCs w:val="20"/>
                <w:color w:val="auto"/>
              </w:rPr>
            </w:pPr>
            <w:r>
              <w:rPr>
                <w:rFonts w:ascii="Arial" w:cs="Arial" w:eastAsia="Arial" w:hAnsi="Arial"/>
                <w:sz w:val="18"/>
                <w:szCs w:val="18"/>
                <w:b w:val="1"/>
                <w:bCs w:val="1"/>
                <w:color w:val="auto"/>
                <w:w w:val="89"/>
              </w:rPr>
              <w:t>410 N. Scottsdale Road, Suite 1600</w:t>
            </w:r>
          </w:p>
        </w:tc>
        <w:tc>
          <w:tcPr>
            <w:tcW w:w="1920" w:type="dxa"/>
            <w:vAlign w:val="bottom"/>
          </w:tcPr>
          <w:p>
            <w:pPr>
              <w:spacing w:after="0"/>
              <w:rPr>
                <w:sz w:val="24"/>
                <w:szCs w:val="24"/>
                <w:color w:val="auto"/>
              </w:rPr>
            </w:pPr>
          </w:p>
        </w:tc>
      </w:tr>
      <w:tr>
        <w:trPr>
          <w:trHeight w:val="270"/>
        </w:trPr>
        <w:tc>
          <w:tcPr>
            <w:tcW w:w="2060" w:type="dxa"/>
            <w:vAlign w:val="bottom"/>
          </w:tcPr>
          <w:p>
            <w:pPr>
              <w:spacing w:after="0"/>
              <w:rPr>
                <w:sz w:val="23"/>
                <w:szCs w:val="23"/>
                <w:color w:val="auto"/>
              </w:rPr>
            </w:pPr>
          </w:p>
        </w:tc>
        <w:tc>
          <w:tcPr>
            <w:tcW w:w="5140" w:type="dxa"/>
            <w:vAlign w:val="bottom"/>
          </w:tcPr>
          <w:p>
            <w:pPr>
              <w:ind w:left="180"/>
              <w:spacing w:after="0"/>
              <w:rPr>
                <w:sz w:val="20"/>
                <w:szCs w:val="20"/>
                <w:color w:val="auto"/>
              </w:rPr>
            </w:pPr>
            <w:r>
              <w:rPr>
                <w:rFonts w:ascii="Arial" w:cs="Arial" w:eastAsia="Arial" w:hAnsi="Arial"/>
                <w:sz w:val="18"/>
                <w:szCs w:val="18"/>
                <w:b w:val="1"/>
                <w:bCs w:val="1"/>
                <w:color w:val="auto"/>
              </w:rPr>
              <w:t>Tempe, AZ</w:t>
            </w:r>
          </w:p>
        </w:tc>
        <w:tc>
          <w:tcPr>
            <w:tcW w:w="1920" w:type="dxa"/>
            <w:vAlign w:val="bottom"/>
          </w:tcPr>
          <w:p>
            <w:pPr>
              <w:jc w:val="right"/>
              <w:ind w:right="370"/>
              <w:spacing w:after="0"/>
              <w:rPr>
                <w:sz w:val="20"/>
                <w:szCs w:val="20"/>
                <w:color w:val="auto"/>
              </w:rPr>
            </w:pPr>
            <w:r>
              <w:rPr>
                <w:rFonts w:ascii="Arial" w:cs="Arial" w:eastAsia="Arial" w:hAnsi="Arial"/>
                <w:sz w:val="18"/>
                <w:szCs w:val="18"/>
                <w:b w:val="1"/>
                <w:bCs w:val="1"/>
                <w:color w:val="auto"/>
              </w:rPr>
              <w:t>85281</w:t>
            </w:r>
          </w:p>
        </w:tc>
      </w:tr>
      <w:tr>
        <w:trPr>
          <w:trHeight w:val="270"/>
        </w:trPr>
        <w:tc>
          <w:tcPr>
            <w:tcW w:w="7200" w:type="dxa"/>
            <w:vAlign w:val="bottom"/>
            <w:gridSpan w:val="2"/>
          </w:tcPr>
          <w:p>
            <w:pPr>
              <w:jc w:val="center"/>
              <w:ind w:right="1450"/>
              <w:spacing w:after="0"/>
              <w:rPr>
                <w:sz w:val="20"/>
                <w:szCs w:val="20"/>
                <w:color w:val="auto"/>
              </w:rPr>
            </w:pPr>
            <w:r>
              <w:rPr>
                <w:rFonts w:ascii="Arial" w:cs="Arial" w:eastAsia="Arial" w:hAnsi="Arial"/>
                <w:sz w:val="18"/>
                <w:szCs w:val="18"/>
                <w:color w:val="auto"/>
                <w:w w:val="92"/>
              </w:rPr>
              <w:t>(Address of principal executive offices)</w:t>
            </w:r>
          </w:p>
        </w:tc>
        <w:tc>
          <w:tcPr>
            <w:tcW w:w="1920" w:type="dxa"/>
            <w:vAlign w:val="bottom"/>
          </w:tcPr>
          <w:p>
            <w:pPr>
              <w:jc w:val="center"/>
              <w:ind w:left="470"/>
              <w:spacing w:after="0"/>
              <w:rPr>
                <w:sz w:val="20"/>
                <w:szCs w:val="20"/>
                <w:color w:val="auto"/>
              </w:rPr>
            </w:pPr>
            <w:r>
              <w:rPr>
                <w:rFonts w:ascii="Arial" w:cs="Arial" w:eastAsia="Arial" w:hAnsi="Arial"/>
                <w:sz w:val="18"/>
                <w:szCs w:val="18"/>
                <w:color w:val="auto"/>
                <w:w w:val="94"/>
              </w:rPr>
              <w:t>(Zip Code)</w:t>
            </w:r>
          </w:p>
        </w:tc>
      </w:tr>
      <w:tr>
        <w:trPr>
          <w:trHeight w:val="472"/>
        </w:trPr>
        <w:tc>
          <w:tcPr>
            <w:tcW w:w="2060" w:type="dxa"/>
            <w:vAlign w:val="bottom"/>
          </w:tcPr>
          <w:p>
            <w:pPr>
              <w:spacing w:after="0"/>
              <w:rPr>
                <w:sz w:val="24"/>
                <w:szCs w:val="24"/>
                <w:color w:val="auto"/>
              </w:rPr>
            </w:pPr>
          </w:p>
        </w:tc>
        <w:tc>
          <w:tcPr>
            <w:tcW w:w="5140" w:type="dxa"/>
            <w:vAlign w:val="bottom"/>
          </w:tcPr>
          <w:p>
            <w:pPr>
              <w:jc w:val="center"/>
              <w:ind w:left="50"/>
              <w:spacing w:after="0"/>
              <w:rPr>
                <w:sz w:val="20"/>
                <w:szCs w:val="20"/>
                <w:color w:val="auto"/>
              </w:rPr>
            </w:pPr>
            <w:r>
              <w:rPr>
                <w:rFonts w:ascii="Arial" w:cs="Arial" w:eastAsia="Arial" w:hAnsi="Arial"/>
                <w:sz w:val="18"/>
                <w:szCs w:val="18"/>
                <w:b w:val="1"/>
                <w:bCs w:val="1"/>
                <w:color w:val="auto"/>
                <w:w w:val="90"/>
              </w:rPr>
              <w:t>(415) 896-6737</w:t>
            </w:r>
          </w:p>
        </w:tc>
        <w:tc>
          <w:tcPr>
            <w:tcW w:w="1920" w:type="dxa"/>
            <w:vAlign w:val="bottom"/>
          </w:tcPr>
          <w:p>
            <w:pPr>
              <w:spacing w:after="0"/>
              <w:rPr>
                <w:sz w:val="24"/>
                <w:szCs w:val="24"/>
                <w:color w:val="auto"/>
              </w:rPr>
            </w:pPr>
          </w:p>
        </w:tc>
      </w:tr>
      <w:tr>
        <w:trPr>
          <w:trHeight w:val="230"/>
        </w:trPr>
        <w:tc>
          <w:tcPr>
            <w:tcW w:w="2060" w:type="dxa"/>
            <w:vAlign w:val="bottom"/>
          </w:tcPr>
          <w:p>
            <w:pPr>
              <w:spacing w:after="0"/>
              <w:rPr>
                <w:sz w:val="20"/>
                <w:szCs w:val="20"/>
                <w:color w:val="auto"/>
              </w:rPr>
            </w:pPr>
          </w:p>
        </w:tc>
        <w:tc>
          <w:tcPr>
            <w:tcW w:w="5140" w:type="dxa"/>
            <w:vAlign w:val="bottom"/>
          </w:tcPr>
          <w:p>
            <w:pPr>
              <w:jc w:val="center"/>
              <w:ind w:left="50"/>
              <w:spacing w:after="0"/>
              <w:rPr>
                <w:sz w:val="20"/>
                <w:szCs w:val="20"/>
                <w:color w:val="auto"/>
              </w:rPr>
            </w:pPr>
            <w:r>
              <w:rPr>
                <w:rFonts w:ascii="Arial" w:cs="Arial" w:eastAsia="Arial" w:hAnsi="Arial"/>
                <w:sz w:val="18"/>
                <w:szCs w:val="18"/>
                <w:color w:val="auto"/>
                <w:w w:val="89"/>
              </w:rPr>
              <w:t>(Registrant’s telephone number, including area code)</w:t>
            </w:r>
          </w:p>
        </w:tc>
        <w:tc>
          <w:tcPr>
            <w:tcW w:w="1920" w:type="dxa"/>
            <w:vAlign w:val="bottom"/>
          </w:tcPr>
          <w:p>
            <w:pPr>
              <w:spacing w:after="0"/>
              <w:rPr>
                <w:sz w:val="20"/>
                <w:szCs w:val="20"/>
                <w:color w:val="auto"/>
              </w:rPr>
            </w:pPr>
          </w:p>
        </w:tc>
      </w:tr>
    </w:tbl>
    <w:p>
      <w:pPr>
        <w:spacing w:after="0" w:line="14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57"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03"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38"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50"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740" w:type="dxa"/>
            <w:vAlign w:val="bottom"/>
            <w:gridSpan w:val="2"/>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60" w:type="dxa"/>
            <w:vAlign w:val="bottom"/>
          </w:tcPr>
          <w:p>
            <w:pPr>
              <w:spacing w:after="0"/>
              <w:rPr>
                <w:sz w:val="20"/>
                <w:szCs w:val="20"/>
                <w:color w:val="auto"/>
              </w:rPr>
            </w:pPr>
          </w:p>
        </w:tc>
      </w:tr>
      <w:tr>
        <w:trPr>
          <w:trHeight w:val="360"/>
        </w:trPr>
        <w:tc>
          <w:tcPr>
            <w:tcW w:w="4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6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w:t>
            </w:r>
          </w:p>
        </w:tc>
      </w:tr>
      <w:tr>
        <w:trPr>
          <w:trHeight w:val="234"/>
        </w:trPr>
        <w:tc>
          <w:tcPr>
            <w:tcW w:w="47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6"/>
              </w:rPr>
              <w:t>Title of each class</w:t>
            </w:r>
          </w:p>
        </w:tc>
        <w:tc>
          <w:tcPr>
            <w:tcW w:w="27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Trading Symbol(s)</w:t>
            </w:r>
          </w:p>
        </w:tc>
        <w:tc>
          <w:tcPr>
            <w:tcW w:w="3760" w:type="dxa"/>
            <w:vAlign w:val="bottom"/>
          </w:tcPr>
          <w:p>
            <w:pPr>
              <w:jc w:val="center"/>
              <w:spacing w:after="0"/>
              <w:rPr>
                <w:sz w:val="20"/>
                <w:szCs w:val="20"/>
                <w:color w:val="auto"/>
              </w:rPr>
            </w:pPr>
            <w:r>
              <w:rPr>
                <w:rFonts w:ascii="Arial" w:cs="Arial" w:eastAsia="Arial" w:hAnsi="Arial"/>
                <w:sz w:val="18"/>
                <w:szCs w:val="18"/>
                <w:b w:val="1"/>
                <w:bCs w:val="1"/>
                <w:color w:val="auto"/>
                <w:w w:val="88"/>
              </w:rPr>
              <w:t>on which registered</w:t>
            </w:r>
          </w:p>
        </w:tc>
      </w:tr>
      <w:tr>
        <w:trPr>
          <w:trHeight w:val="27"/>
        </w:trPr>
        <w:tc>
          <w:tcPr>
            <w:tcW w:w="4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r>
      <w:tr>
        <w:trPr>
          <w:trHeight w:val="237"/>
        </w:trPr>
        <w:tc>
          <w:tcPr>
            <w:tcW w:w="474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Common stock, $0.0001 par value per share</w:t>
            </w:r>
          </w:p>
        </w:tc>
        <w:tc>
          <w:tcPr>
            <w:tcW w:w="27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OPEN</w:t>
            </w:r>
          </w:p>
        </w:tc>
        <w:tc>
          <w:tcPr>
            <w:tcW w:w="3760" w:type="dxa"/>
            <w:vAlign w:val="bottom"/>
          </w:tcPr>
          <w:p>
            <w:pPr>
              <w:jc w:val="center"/>
              <w:spacing w:after="0"/>
              <w:rPr>
                <w:sz w:val="20"/>
                <w:szCs w:val="20"/>
                <w:color w:val="auto"/>
              </w:rPr>
            </w:pPr>
            <w:r>
              <w:rPr>
                <w:rFonts w:ascii="Arial" w:cs="Arial" w:eastAsia="Arial" w:hAnsi="Arial"/>
                <w:sz w:val="18"/>
                <w:szCs w:val="18"/>
                <w:color w:val="auto"/>
                <w:w w:val="92"/>
              </w:rPr>
              <w:t>The Nasdaq Stock Market LLC</w:t>
            </w:r>
          </w:p>
        </w:tc>
      </w:tr>
    </w:tbl>
    <w:p>
      <w:pPr>
        <w:spacing w:after="0" w:line="269"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4" w:lineRule="exact"/>
        <w:rPr>
          <w:sz w:val="24"/>
          <w:szCs w:val="24"/>
          <w:color w:val="auto"/>
        </w:rPr>
      </w:pPr>
    </w:p>
    <w:p>
      <w:pPr>
        <w:ind w:left="90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27"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815975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ind w:right="160" w:firstLine="405"/>
        <w:spacing w:after="0" w:line="296" w:lineRule="auto"/>
        <w:rPr>
          <w:sz w:val="20"/>
          <w:szCs w:val="20"/>
          <w:color w:val="auto"/>
        </w:rPr>
      </w:pPr>
      <w:r>
        <w:rPr>
          <w:rFonts w:ascii="Arial" w:cs="Arial" w:eastAsia="Arial" w:hAnsi="Arial"/>
          <w:sz w:val="16"/>
          <w:szCs w:val="16"/>
          <w:color w:val="auto"/>
        </w:rPr>
        <w:t>On July 26, 2021, Opendoor Technologies Inc. (the “Company”) issued a press release announcing the results of the completed redemption of all of its outstanding warrants to purchase shares of the Company’s common stock, par value $0.0001 per share, that were issued under the Warrant Agreement, dated April 27, 2020, by and between the Company and Continental Stock Transfer &amp; Trust Company (“CST”), as warrant agent, as amended by the First Amendment to the Warrant Agreement, dated March 22, 2021, by and among the Company, CST and American Stock Transfer &amp; Trust Company, as warrant agent. A copy of the press release is filed as Exhibit 99.1 hereto and is incorporated herein by reference.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640" w:hanging="632"/>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20" w:type="dxa"/>
            <w:vAlign w:val="bottom"/>
            <w:gridSpan w:val="2"/>
          </w:tcPr>
          <w:p>
            <w:pPr>
              <w:ind w:left="20"/>
              <w:spacing w:after="0"/>
              <w:rPr>
                <w:sz w:val="20"/>
                <w:szCs w:val="20"/>
                <w:color w:val="auto"/>
              </w:rPr>
            </w:pPr>
            <w:r>
              <w:rPr>
                <w:rFonts w:ascii="Arial" w:cs="Arial" w:eastAsia="Arial" w:hAnsi="Arial"/>
                <w:sz w:val="18"/>
                <w:szCs w:val="18"/>
                <w:b w:val="1"/>
                <w:bCs w:val="1"/>
                <w:color w:val="auto"/>
              </w:rPr>
              <w:t>Exhibit No.</w:t>
            </w:r>
          </w:p>
        </w:tc>
        <w:tc>
          <w:tcPr>
            <w:tcW w:w="20" w:type="dxa"/>
            <w:vAlign w:val="bottom"/>
          </w:tcPr>
          <w:p>
            <w:pPr>
              <w:spacing w:after="0"/>
              <w:rPr>
                <w:sz w:val="20"/>
                <w:szCs w:val="20"/>
                <w:color w:val="auto"/>
              </w:rPr>
            </w:pPr>
          </w:p>
        </w:tc>
        <w:tc>
          <w:tcPr>
            <w:tcW w:w="960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331"/>
        </w:trPr>
        <w:tc>
          <w:tcPr>
            <w:tcW w:w="15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99.1</w:t>
            </w:r>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440" w:type="dxa"/>
            <w:vAlign w:val="bottom"/>
            <w:tcBorders>
              <w:top w:val="single" w:sz="8" w:color="auto"/>
              <w:bottom w:val="single" w:sz="8" w:color="0000FF"/>
            </w:tcBorders>
          </w:tcPr>
          <w:p>
            <w:pPr>
              <w:spacing w:after="0"/>
              <w:rPr>
                <w:rFonts w:ascii="Arial" w:cs="Arial" w:eastAsia="Arial" w:hAnsi="Arial"/>
                <w:sz w:val="18"/>
                <w:szCs w:val="18"/>
                <w:color w:val="0000FF"/>
                <w:w w:val="86"/>
              </w:rPr>
            </w:pPr>
            <w:hyperlink w:anchor="page4">
              <w:r>
                <w:rPr>
                  <w:rFonts w:ascii="Arial" w:cs="Arial" w:eastAsia="Arial" w:hAnsi="Arial"/>
                  <w:sz w:val="18"/>
                  <w:szCs w:val="18"/>
                  <w:color w:val="0000FF"/>
                  <w:w w:val="86"/>
                </w:rPr>
                <w:t xml:space="preserve">Press Release dated </w:t>
              </w:r>
            </w:hyperlink>
            <w:r>
              <w:rPr>
                <w:rFonts w:ascii="Arial" w:cs="Arial" w:eastAsia="Arial" w:hAnsi="Arial"/>
                <w:sz w:val="18"/>
                <w:szCs w:val="18"/>
                <w:color w:val="0000FF"/>
                <w:w w:val="86"/>
              </w:rPr>
              <w:t xml:space="preserve">July </w:t>
            </w:r>
            <w:hyperlink w:anchor="page4">
              <w:r>
                <w:rPr>
                  <w:rFonts w:ascii="Arial" w:cs="Arial" w:eastAsia="Arial" w:hAnsi="Arial"/>
                  <w:sz w:val="18"/>
                  <w:szCs w:val="18"/>
                  <w:color w:val="0000FF"/>
                  <w:w w:val="86"/>
                </w:rPr>
                <w:t>26, 2021</w:t>
              </w:r>
            </w:hyperlink>
          </w:p>
        </w:tc>
        <w:tc>
          <w:tcPr>
            <w:tcW w:w="7160" w:type="dxa"/>
            <w:vAlign w:val="bottom"/>
            <w:tcBorders>
              <w:top w:val="single" w:sz="8" w:color="auto"/>
            </w:tcBorders>
          </w:tcPr>
          <w:p>
            <w:pPr>
              <w:spacing w:after="0"/>
              <w:rPr>
                <w:sz w:val="24"/>
                <w:szCs w:val="24"/>
                <w:color w:val="auto"/>
              </w:rPr>
            </w:pPr>
          </w:p>
        </w:tc>
      </w:tr>
      <w:tr>
        <w:trPr>
          <w:trHeight w:val="250"/>
        </w:trPr>
        <w:tc>
          <w:tcPr>
            <w:tcW w:w="1520" w:type="dxa"/>
            <w:vAlign w:val="bottom"/>
          </w:tcPr>
          <w:p>
            <w:pPr>
              <w:ind w:left="2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0" w:type="dxa"/>
            <w:vAlign w:val="bottom"/>
            <w:gridSpan w:val="2"/>
          </w:tcPr>
          <w:p>
            <w:pPr>
              <w:spacing w:after="0"/>
              <w:rPr>
                <w:sz w:val="20"/>
                <w:szCs w:val="20"/>
                <w:color w:val="auto"/>
              </w:rPr>
            </w:pPr>
            <w:r>
              <w:rPr>
                <w:rFonts w:ascii="Arial" w:cs="Arial" w:eastAsia="Arial" w:hAnsi="Arial"/>
                <w:sz w:val="18"/>
                <w:szCs w:val="18"/>
                <w:color w:val="auto"/>
              </w:rPr>
              <w:t>Cover Page Interactive Data File (Cover page XBRL tags are embedded within the Inline XBRL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1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720" w:type="dxa"/>
            <w:vAlign w:val="bottom"/>
          </w:tcPr>
          <w:p>
            <w:pPr>
              <w:spacing w:after="0"/>
              <w:rPr>
                <w:sz w:val="20"/>
                <w:szCs w:val="20"/>
                <w:color w:val="auto"/>
              </w:rPr>
            </w:pPr>
          </w:p>
        </w:tc>
        <w:tc>
          <w:tcPr>
            <w:tcW w:w="7500" w:type="dxa"/>
            <w:vAlign w:val="bottom"/>
            <w:gridSpan w:val="2"/>
          </w:tcPr>
          <w:p>
            <w:pPr>
              <w:ind w:left="2300"/>
              <w:spacing w:after="0"/>
              <w:rPr>
                <w:sz w:val="20"/>
                <w:szCs w:val="20"/>
                <w:color w:val="auto"/>
              </w:rPr>
            </w:pPr>
            <w:r>
              <w:rPr>
                <w:rFonts w:ascii="Arial" w:cs="Arial" w:eastAsia="Arial" w:hAnsi="Arial"/>
                <w:sz w:val="18"/>
                <w:szCs w:val="18"/>
                <w:color w:val="auto"/>
              </w:rPr>
              <w:t>Opendoor Technologies Inc.</w:t>
            </w:r>
          </w:p>
        </w:tc>
      </w:tr>
      <w:tr>
        <w:trPr>
          <w:trHeight w:val="486"/>
        </w:trPr>
        <w:tc>
          <w:tcPr>
            <w:tcW w:w="3720" w:type="dxa"/>
            <w:vAlign w:val="bottom"/>
          </w:tcPr>
          <w:p>
            <w:pPr>
              <w:spacing w:after="0"/>
              <w:rPr>
                <w:sz w:val="20"/>
                <w:szCs w:val="20"/>
                <w:color w:val="auto"/>
              </w:rPr>
            </w:pPr>
            <w:r>
              <w:rPr>
                <w:rFonts w:ascii="Arial" w:cs="Arial" w:eastAsia="Arial" w:hAnsi="Arial"/>
                <w:sz w:val="18"/>
                <w:szCs w:val="18"/>
                <w:color w:val="auto"/>
              </w:rPr>
              <w:t>Date: July 26, 2021</w:t>
            </w:r>
          </w:p>
        </w:tc>
        <w:tc>
          <w:tcPr>
            <w:tcW w:w="3140" w:type="dxa"/>
            <w:vAlign w:val="bottom"/>
          </w:tcPr>
          <w:p>
            <w:pPr>
              <w:ind w:left="2300"/>
              <w:spacing w:after="0"/>
              <w:rPr>
                <w:sz w:val="20"/>
                <w:szCs w:val="20"/>
                <w:color w:val="auto"/>
              </w:rPr>
            </w:pPr>
            <w:r>
              <w:rPr>
                <w:rFonts w:ascii="Arial" w:cs="Arial" w:eastAsia="Arial" w:hAnsi="Arial"/>
                <w:sz w:val="18"/>
                <w:szCs w:val="18"/>
                <w:color w:val="auto"/>
              </w:rPr>
              <w:t>By:</w:t>
            </w:r>
          </w:p>
        </w:tc>
        <w:tc>
          <w:tcPr>
            <w:tcW w:w="4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Carrie Wheeler</w:t>
            </w:r>
          </w:p>
        </w:tc>
      </w:tr>
      <w:tr>
        <w:trPr>
          <w:trHeight w:val="222"/>
        </w:trPr>
        <w:tc>
          <w:tcPr>
            <w:tcW w:w="3720" w:type="dxa"/>
            <w:vAlign w:val="bottom"/>
          </w:tcPr>
          <w:p>
            <w:pPr>
              <w:spacing w:after="0"/>
              <w:rPr>
                <w:sz w:val="19"/>
                <w:szCs w:val="19"/>
                <w:color w:val="auto"/>
              </w:rPr>
            </w:pPr>
          </w:p>
        </w:tc>
        <w:tc>
          <w:tcPr>
            <w:tcW w:w="3140" w:type="dxa"/>
            <w:vAlign w:val="bottom"/>
          </w:tcPr>
          <w:p>
            <w:pPr>
              <w:ind w:left="2300"/>
              <w:spacing w:after="0"/>
              <w:rPr>
                <w:sz w:val="20"/>
                <w:szCs w:val="20"/>
                <w:color w:val="auto"/>
              </w:rPr>
            </w:pPr>
            <w:r>
              <w:rPr>
                <w:rFonts w:ascii="Arial" w:cs="Arial" w:eastAsia="Arial" w:hAnsi="Arial"/>
                <w:sz w:val="18"/>
                <w:szCs w:val="18"/>
                <w:color w:val="auto"/>
              </w:rPr>
              <w:t>Name:</w:t>
            </w:r>
          </w:p>
        </w:tc>
        <w:tc>
          <w:tcPr>
            <w:tcW w:w="4360" w:type="dxa"/>
            <w:vAlign w:val="bottom"/>
          </w:tcPr>
          <w:p>
            <w:pPr>
              <w:ind w:left="20"/>
              <w:spacing w:after="0"/>
              <w:rPr>
                <w:sz w:val="20"/>
                <w:szCs w:val="20"/>
                <w:color w:val="auto"/>
              </w:rPr>
            </w:pPr>
            <w:r>
              <w:rPr>
                <w:rFonts w:ascii="Arial" w:cs="Arial" w:eastAsia="Arial" w:hAnsi="Arial"/>
                <w:sz w:val="18"/>
                <w:szCs w:val="18"/>
                <w:color w:val="auto"/>
              </w:rPr>
              <w:t>Carrie Wheeler</w:t>
            </w:r>
          </w:p>
        </w:tc>
      </w:tr>
      <w:tr>
        <w:trPr>
          <w:trHeight w:val="230"/>
        </w:trPr>
        <w:tc>
          <w:tcPr>
            <w:tcW w:w="3720" w:type="dxa"/>
            <w:vAlign w:val="bottom"/>
          </w:tcPr>
          <w:p>
            <w:pPr>
              <w:spacing w:after="0"/>
              <w:rPr>
                <w:sz w:val="20"/>
                <w:szCs w:val="20"/>
                <w:color w:val="auto"/>
              </w:rPr>
            </w:pPr>
          </w:p>
        </w:tc>
        <w:tc>
          <w:tcPr>
            <w:tcW w:w="3140" w:type="dxa"/>
            <w:vAlign w:val="bottom"/>
          </w:tcPr>
          <w:p>
            <w:pPr>
              <w:ind w:left="2300"/>
              <w:spacing w:after="0"/>
              <w:rPr>
                <w:sz w:val="20"/>
                <w:szCs w:val="20"/>
                <w:color w:val="auto"/>
              </w:rPr>
            </w:pPr>
            <w:r>
              <w:rPr>
                <w:rFonts w:ascii="Arial" w:cs="Arial" w:eastAsia="Arial" w:hAnsi="Arial"/>
                <w:sz w:val="18"/>
                <w:szCs w:val="18"/>
                <w:color w:val="auto"/>
              </w:rPr>
              <w:t>Title:</w:t>
            </w:r>
          </w:p>
        </w:tc>
        <w:tc>
          <w:tcPr>
            <w:tcW w:w="436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228" w:right="339" w:bottom="1440" w:gutter="0" w:footer="0" w:header="0"/>
        </w:sectPr>
      </w:pPr>
    </w:p>
    <w:bookmarkStart w:id="3" w:name="page4"/>
    <w:bookmarkEnd w:id="3"/>
    <w:p>
      <w:pPr>
        <w:ind w:left="10120"/>
        <w:spacing w:after="0"/>
        <w:rPr>
          <w:sz w:val="20"/>
          <w:szCs w:val="20"/>
          <w:color w:val="auto"/>
        </w:rPr>
      </w:pPr>
      <w:r>
        <w:rPr>
          <w:rFonts w:ascii="Arial" w:cs="Arial" w:eastAsia="Arial" w:hAnsi="Arial"/>
          <w:sz w:val="19"/>
          <w:szCs w:val="19"/>
          <w:b w:val="1"/>
          <w:bCs w:val="1"/>
          <w:color w:val="auto"/>
        </w:rPr>
        <w:t>Exhibit 99.1</w:t>
      </w:r>
    </w:p>
    <w:p>
      <w:pPr>
        <w:spacing w:after="0" w:line="254" w:lineRule="exact"/>
        <w:rPr>
          <w:sz w:val="20"/>
          <w:szCs w:val="20"/>
          <w:color w:val="auto"/>
        </w:rPr>
      </w:pPr>
    </w:p>
    <w:p>
      <w:pPr>
        <w:ind w:left="500"/>
        <w:spacing w:after="0"/>
        <w:rPr>
          <w:sz w:val="20"/>
          <w:szCs w:val="20"/>
          <w:color w:val="auto"/>
        </w:rPr>
      </w:pPr>
      <w:r>
        <w:rPr>
          <w:rFonts w:ascii="Arial" w:cs="Arial" w:eastAsia="Arial" w:hAnsi="Arial"/>
          <w:sz w:val="19"/>
          <w:szCs w:val="19"/>
          <w:b w:val="1"/>
          <w:bCs w:val="1"/>
          <w:color w:val="auto"/>
        </w:rPr>
        <w:t>Opendoor Technologies Inc. Announces the Results of the Completed Redemption of All Outstanding Warrants</w:t>
      </w:r>
    </w:p>
    <w:p>
      <w:pPr>
        <w:spacing w:after="0" w:line="268" w:lineRule="exact"/>
        <w:rPr>
          <w:sz w:val="20"/>
          <w:szCs w:val="20"/>
          <w:color w:val="auto"/>
        </w:rPr>
      </w:pPr>
    </w:p>
    <w:p>
      <w:pPr>
        <w:ind w:right="20"/>
        <w:spacing w:after="0" w:line="246" w:lineRule="auto"/>
        <w:rPr>
          <w:sz w:val="20"/>
          <w:szCs w:val="20"/>
          <w:color w:val="auto"/>
        </w:rPr>
      </w:pPr>
      <w:r>
        <w:rPr>
          <w:rFonts w:ascii="Arial" w:cs="Arial" w:eastAsia="Arial" w:hAnsi="Arial"/>
          <w:sz w:val="21"/>
          <w:szCs w:val="21"/>
          <w:b w:val="1"/>
          <w:bCs w:val="1"/>
          <w:color w:val="auto"/>
        </w:rPr>
        <w:t xml:space="preserve">SAN FRANCISCO, California – July 26, 2021 </w:t>
      </w:r>
      <w:r>
        <w:rPr>
          <w:rFonts w:ascii="Arial" w:cs="Arial" w:eastAsia="Arial" w:hAnsi="Arial"/>
          <w:sz w:val="21"/>
          <w:szCs w:val="21"/>
          <w:color w:val="auto"/>
        </w:rPr>
        <w:t>– Opendoor Technologies Inc. (Nasdaq: OPEN), (“Opendoor” or “the</w:t>
      </w:r>
      <w:r>
        <w:rPr>
          <w:rFonts w:ascii="Arial" w:cs="Arial" w:eastAsia="Arial" w:hAnsi="Arial"/>
          <w:sz w:val="21"/>
          <w:szCs w:val="21"/>
          <w:b w:val="1"/>
          <w:bCs w:val="1"/>
          <w:color w:val="auto"/>
        </w:rPr>
        <w:t xml:space="preserve"> </w:t>
      </w:r>
      <w:r>
        <w:rPr>
          <w:rFonts w:ascii="Arial" w:cs="Arial" w:eastAsia="Arial" w:hAnsi="Arial"/>
          <w:sz w:val="21"/>
          <w:szCs w:val="21"/>
          <w:color w:val="auto"/>
        </w:rPr>
        <w:t>Company”), a leading digital platform for residential real estate, today announced the results of the completed redemption of all of its outstanding warrants (the “Public Warrants”) to purchase shares of the Company’s common stock, par value $0.0001 per share (the “Common Stock”), that were issued under the Warrant Agreement, dated April 27, 2020, by and between the Company and Continental Stock Transfer &amp; Trust Company (“CST”), as warrant agent, as amended by the First Amendment to the Warrant Agreement, dated March 22, 2021, by and among the Company, CST and American Stock Transfer &amp; Trust Company, as warrant agent (as amended, the “Warrant Agreement”), as part of the units sold in the Company’s initial public offering (the “IPO”) that remained outstanding at 5:00 p.m. New York City time on July 9, 2021 (the “Redemption Date”) for a redemption price of $0.10 per Public Warrant.</w:t>
      </w:r>
    </w:p>
    <w:p>
      <w:pPr>
        <w:spacing w:after="0" w:line="195" w:lineRule="exact"/>
        <w:rPr>
          <w:sz w:val="20"/>
          <w:szCs w:val="20"/>
          <w:color w:val="auto"/>
        </w:rPr>
      </w:pPr>
    </w:p>
    <w:p>
      <w:pPr>
        <w:ind w:right="40"/>
        <w:spacing w:after="0" w:line="292" w:lineRule="auto"/>
        <w:rPr>
          <w:sz w:val="20"/>
          <w:szCs w:val="20"/>
          <w:color w:val="auto"/>
        </w:rPr>
      </w:pPr>
      <w:r>
        <w:rPr>
          <w:rFonts w:ascii="Arial" w:cs="Arial" w:eastAsia="Arial" w:hAnsi="Arial"/>
          <w:sz w:val="19"/>
          <w:szCs w:val="19"/>
          <w:color w:val="auto"/>
        </w:rPr>
        <w:t>On June 9, 2021, the Company issued a press release stating that, pursuant to the terms of the Warrant Agreement, it would redeem all of the outstanding Public Warrants at a redemption price of $0.10 per Public Warrant. The redemption was triggered because the last sales price (the “Reference Value”) of the Common Stock was at least $10.00 per share on each of twenty trading days within a thirty-day trading period ending on the third trading day prior to June 9, 2021. Since the Reference Value was less than $18.00 per share, the outstanding warrants to purchase Common Stock that were issued under the Warrant Agreement in a private placement simultaneously with the IPO (the “Private Warrants” and, together with the Public Warrants, the “Warrants”) were also concurrently called for redemption on the same terms as the outstanding Public Warrants.</w:t>
      </w:r>
    </w:p>
    <w:p>
      <w:pPr>
        <w:spacing w:after="0" w:line="151" w:lineRule="exact"/>
        <w:rPr>
          <w:sz w:val="20"/>
          <w:szCs w:val="20"/>
          <w:color w:val="auto"/>
        </w:rPr>
      </w:pPr>
    </w:p>
    <w:p>
      <w:pPr>
        <w:ind w:right="160"/>
        <w:spacing w:after="0" w:line="288" w:lineRule="auto"/>
        <w:rPr>
          <w:sz w:val="20"/>
          <w:szCs w:val="20"/>
          <w:color w:val="auto"/>
        </w:rPr>
      </w:pPr>
      <w:r>
        <w:rPr>
          <w:rFonts w:ascii="Arial" w:cs="Arial" w:eastAsia="Arial" w:hAnsi="Arial"/>
          <w:sz w:val="19"/>
          <w:szCs w:val="19"/>
          <w:color w:val="auto"/>
        </w:rPr>
        <w:t>Of the 13,799,947 Public Warrants that were outstanding as of the time of the business combination of Opendoor with Social Capital Hedosophia Holdings Corp. II on December 18, 2020 (the “Business Combination”), 874,739 were exercised for cash at an exercise price of $11.50 per share of Common Stock and 12,521,776 were exercised on a cashless basis in exchange for an aggregate of 4,452,659 shares of Common Stock, in each case in accordance with the terms of the Warrant Agreement, representing approximately 97% of the Public Warrants. In addition, of the 6,133,333 Private Warrants that were outstanding as of the date of the Business Combination, 1,073,333 were exercised for cash at an exercise price of $11.50 per share of Common Stock and 5,060,000 were exercised on a cashless basis in exchange for an aggregate of 1,799,336 shares of Common Stock, in each case in accordance with the terms of the Warrant Agreement, representing 100% of the Private Warrants. Total cash proceeds generated from exercises of the Warrants were $22,402,828. As of July 23, 2021, the Company had no Warrants and 604,213,754 shares of Common Stock outstanding.</w:t>
      </w:r>
    </w:p>
    <w:p>
      <w:pPr>
        <w:spacing w:after="0" w:line="159" w:lineRule="exact"/>
        <w:rPr>
          <w:sz w:val="20"/>
          <w:szCs w:val="20"/>
          <w:color w:val="auto"/>
        </w:rPr>
      </w:pPr>
    </w:p>
    <w:p>
      <w:pPr>
        <w:ind w:right="240"/>
        <w:spacing w:after="0" w:line="312" w:lineRule="auto"/>
        <w:rPr>
          <w:sz w:val="20"/>
          <w:szCs w:val="20"/>
          <w:color w:val="auto"/>
        </w:rPr>
      </w:pPr>
      <w:r>
        <w:rPr>
          <w:rFonts w:ascii="Arial" w:cs="Arial" w:eastAsia="Arial" w:hAnsi="Arial"/>
          <w:sz w:val="19"/>
          <w:szCs w:val="19"/>
          <w:color w:val="auto"/>
        </w:rPr>
        <w:t>In connection with the redemption, the Public Warrants stopped trading on the Nasdaq Global Select Market and were delisted, with the trading halt announced after close of market on July 9, 2021. The redemption had no effect on the trading of the Common Stock, which continues to trade on the Nasdaq Global Select Market under the symbol “OPEN.”</w:t>
      </w:r>
    </w:p>
    <w:p>
      <w:pPr>
        <w:sectPr>
          <w:pgSz w:w="11900" w:h="16838" w:orient="portrait"/>
          <w:cols w:equalWidth="0" w:num="1">
            <w:col w:w="11240"/>
          </w:cols>
          <w:pgMar w:left="320" w:top="1233" w:right="339" w:bottom="1440" w:gutter="0" w:footer="0" w:header="0"/>
        </w:sectPr>
      </w:pPr>
    </w:p>
    <w:bookmarkStart w:id="4" w:name="page5"/>
    <w:bookmarkEnd w:id="4"/>
    <w:p>
      <w:pPr>
        <w:spacing w:after="0" w:line="2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Opendoor</w:t>
      </w:r>
    </w:p>
    <w:p>
      <w:pPr>
        <w:spacing w:after="0" w:line="226" w:lineRule="exact"/>
        <w:rPr>
          <w:sz w:val="20"/>
          <w:szCs w:val="20"/>
          <w:color w:val="auto"/>
        </w:rPr>
      </w:pPr>
    </w:p>
    <w:p>
      <w:pPr>
        <w:spacing w:after="0" w:line="253" w:lineRule="auto"/>
        <w:rPr>
          <w:sz w:val="20"/>
          <w:szCs w:val="20"/>
          <w:color w:val="auto"/>
        </w:rPr>
      </w:pPr>
      <w:r>
        <w:rPr>
          <w:rFonts w:ascii="Arial" w:cs="Arial" w:eastAsia="Arial" w:hAnsi="Arial"/>
          <w:sz w:val="22"/>
          <w:szCs w:val="22"/>
          <w:color w:val="auto"/>
        </w:rPr>
        <w:t>Opendoor’s mission is to empower everyone with the freedom to move. Since 2014, Opendoor has provided people across the U.S. with a radically simple way to buy, sell or trade-in a home online. Opendoor currently operates in a growing number of markets across the U.S.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Contact Information</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Investors</w:t>
      </w:r>
      <w:r>
        <w:rPr>
          <w:rFonts w:ascii="Arial" w:cs="Arial" w:eastAsia="Arial" w:hAnsi="Arial"/>
          <w:sz w:val="22"/>
          <w:szCs w:val="22"/>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Elise Wang</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Opendoor</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investors@opendoor.com</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Media</w:t>
      </w:r>
      <w:r>
        <w:rPr>
          <w:rFonts w:ascii="Arial" w:cs="Arial" w:eastAsia="Arial" w:hAnsi="Arial"/>
          <w:sz w:val="22"/>
          <w:szCs w:val="22"/>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Sheila Tran / Charles Stewart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Opendoor</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press@opendoor.com</w:t>
      </w:r>
    </w:p>
    <w:sectPr>
      <w:pgSz w:w="11900" w:h="16838" w:orient="portrait"/>
      <w:cols w:equalWidth="0" w:num="1">
        <w:col w:w="10920"/>
      </w:cols>
      <w:pgMar w:left="320" w:top="1440"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2021-07-26T08:07:01Z</dcterms:created>
  <dcterms:modified xsi:type="dcterms:W3CDTF">2021-07-26T08:07:01Z</dcterms:modified>
</cp:coreProperties>
</file>