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___________ to ____________.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001-39253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Opendoor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37" w:type="dxa"/>
        <w:jc w:val="center"/>
        <w:tblInd w:w="0" w:type="dxa"/>
        <w:tblLayout w:type="fixed"/>
        <w:tblCellMar>
          <w:top w:w="28" w:type="dxa"/>
          <w:left w:w="28" w:type="dxa"/>
          <w:bottom w:w="28" w:type="dxa"/>
          <w:right w:w="28" w:type="dxa"/>
        </w:tblCellMar>
      </w:tblPr>
      <w:tblGrid>
        <w:gridCol w:w="502"/>
        <w:gridCol w:w="439"/>
        <w:gridCol w:w="439"/>
        <w:gridCol w:w="439"/>
        <w:gridCol w:w="439"/>
        <w:gridCol w:w="439"/>
        <w:gridCol w:w="290"/>
        <w:gridCol w:w="290"/>
        <w:gridCol w:w="304"/>
        <w:gridCol w:w="109"/>
        <w:gridCol w:w="109"/>
        <w:gridCol w:w="109"/>
        <w:gridCol w:w="884"/>
        <w:gridCol w:w="884"/>
        <w:gridCol w:w="1261"/>
      </w:tblGrid>
      <w:tr>
        <w:trPr/>
        <w:tc>
          <w:tcPr>
            <w:tcW w:w="5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30-1318214</w:t>
            </w:r>
          </w:p>
        </w:tc>
      </w:tr>
      <w:tr>
        <w:trPr/>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1295 West Washington Street, </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Tempe,</w:t>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AZ</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85288</w:t>
            </w:r>
          </w:p>
        </w:tc>
      </w:tr>
      <w:tr>
        <w:trPr/>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(480) 618-6760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444"/>
        <w:gridCol w:w="1945"/>
        <w:gridCol w:w="1967"/>
        <w:gridCol w:w="431"/>
        <w:gridCol w:w="431"/>
        <w:gridCol w:w="432"/>
        <w:gridCol w:w="745"/>
        <w:gridCol w:w="745"/>
        <w:gridCol w:w="1065"/>
      </w:tblGrid>
      <w:tr>
        <w:trPr/>
        <w:tc>
          <w:tcPr>
            <w:tcW w:w="2444"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OPEN</w:t>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5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Series K Warrants, each whole warrant exercisable to purchase one share of common stock at an exercise price of $9.00 per warrant</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OPENW</w:t>
            </w:r>
          </w:p>
        </w:tc>
        <w:tc>
          <w:tcPr>
            <w:tcW w:w="25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Warrants, each whole warrant exercisable to purchase one share of common stock at an exercise price of $13.00 per warrant</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OPENL</w:t>
            </w:r>
          </w:p>
        </w:tc>
        <w:tc>
          <w:tcPr>
            <w:tcW w:w="25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Z Warrants, each whole warrant exercisable to purchase one share of common stock at an exercise price of $17.00 per warrant</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OPENZ</w:t>
            </w:r>
          </w:p>
        </w:tc>
        <w:tc>
          <w:tcPr>
            <w:tcW w:w="25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not required to file reports pursuant to Section 13 or Section 15(d) of the 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effectiveness of its internal control over financial reporting under Section 404(b) of the Sarbanes-Oxley Act (15 U.S.C.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7262(b)) by the registered public accounting firm that prepared or issued its audit report.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voting and non-voting common stock held by non-affiliates of the registrant as of June 30, 2025 was $339,866,979. Shares of common stock beneficially owned by each executive officer, director, and holder of more than 10% of our common stock have been excluded in that such persons may be deemed to be affiliates.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registrant’s common stock outstanding as of February 12, 2026 was 958,325,481.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2026 Annual Meeting of Stockholders, which will be filed with the Securities and Exchange Commission within 120 days after the end of the registrant’s fiscal year ended December 31, 2025, are incorporated by reference into Part III of this Annual Report on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Fiscal Year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26"/>
        <w:gridCol w:w="2983"/>
        <w:gridCol w:w="3023"/>
        <w:gridCol w:w="167"/>
        <w:gridCol w:w="167"/>
        <w:gridCol w:w="239"/>
      </w:tblGrid>
      <w:tr>
        <w:trPr/>
        <w:tc>
          <w:tcPr>
            <w:tcW w:w="3626"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200" w:after="283"/>
              <w:jc w:val="left"/>
              <w:rPr/>
            </w:pPr>
            <w:hyperlink w:anchor="i1aca5f4767c9461895b71eac8785f0af_19">
              <w:r>
                <w:rPr>
                  <w:rStyle w:val="InternetLink"/>
                  <w:rFonts w:ascii="Times New Roman;serif" w:hAnsi="Times New Roman;serif"/>
                  <w:b/>
                  <w:color w:val="000000"/>
                  <w:sz w:val="20"/>
                  <w:u w:val="single"/>
                </w:rPr>
                <w:t>PART I</w:t>
              </w:r>
            </w:hyperlink>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2">
              <w:r>
                <w:rPr>
                  <w:rStyle w:val="InternetLink"/>
                  <w:rFonts w:ascii="Times New Roman;serif" w:hAnsi="Times New Roman;serif"/>
                  <w:b w:val="false"/>
                  <w:color w:val="0030F1"/>
                  <w:sz w:val="20"/>
                  <w:u w:val="single"/>
                </w:rPr>
                <w:t>ITEM 1. BUSINESS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2">
              <w:r>
                <w:rPr>
                  <w:rStyle w:val="InternetLink"/>
                  <w:rFonts w:ascii="Times New Roman;serif" w:hAnsi="Times New Roman;serif"/>
                  <w:b w:val="false"/>
                  <w:color w:val="0030F1"/>
                  <w:sz w:val="20"/>
                  <w:u w:val="single"/>
                </w:rPr>
                <w:t>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5">
              <w:r>
                <w:rPr>
                  <w:rStyle w:val="InternetLink"/>
                  <w:rFonts w:ascii="Times New Roman;serif" w:hAnsi="Times New Roman;serif"/>
                  <w:b w:val="false"/>
                  <w:color w:val="0030F1"/>
                  <w:sz w:val="20"/>
                  <w:u w:val="single"/>
                </w:rPr>
                <w:t>ITEM 1A. 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5">
              <w:r>
                <w:rPr>
                  <w:rStyle w:val="InternetLink"/>
                  <w:rFonts w:ascii="Times New Roman;serif" w:hAnsi="Times New Roman;serif"/>
                  <w:b w:val="false"/>
                  <w:color w:val="0030F1"/>
                  <w:sz w:val="20"/>
                  <w:u w:val="single"/>
                </w:rPr>
                <w:t>13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hyperlink w:anchor="i1aca5f4767c9461895b71eac8785f0af_28">
              <w:r>
                <w:rPr>
                  <w:rStyle w:val="InternetLink"/>
                  <w:rFonts w:ascii="Times New Roman;serif" w:hAnsi="Times New Roman;serif"/>
                  <w:b w:val="false"/>
                  <w:color w:val="0030F1"/>
                  <w:sz w:val="20"/>
                  <w:u w:val="single"/>
                </w:rPr>
                <w:t>ITEM 1B. UNRESOLVED STAFF COMMENTS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8">
              <w:r>
                <w:rPr>
                  <w:rStyle w:val="InternetLink"/>
                  <w:rFonts w:ascii="Times New Roman;serif" w:hAnsi="Times New Roman;serif"/>
                  <w:b w:val="false"/>
                  <w:color w:val="0030F1"/>
                  <w:sz w:val="20"/>
                  <w:u w:val="single"/>
                </w:rPr>
                <w:t>47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31">
              <w:r>
                <w:rPr>
                  <w:rStyle w:val="InternetLink"/>
                  <w:rFonts w:ascii="Times New Roman;serif" w:hAnsi="Times New Roman;serif"/>
                  <w:b w:val="false"/>
                  <w:color w:val="0000FF"/>
                  <w:sz w:val="20"/>
                  <w:u w:val="single"/>
                </w:rPr>
                <w:t>ITEM 1C. CYBERSECURITY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31">
              <w:r>
                <w:rPr>
                  <w:rStyle w:val="InternetLink"/>
                  <w:rFonts w:ascii="Times New Roman;serif" w:hAnsi="Times New Roman;serif"/>
                  <w:b w:val="false"/>
                  <w:color w:val="0030F1"/>
                  <w:sz w:val="20"/>
                  <w:u w:val="single"/>
                </w:rPr>
                <w:t>47</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34">
              <w:r>
                <w:rPr>
                  <w:rStyle w:val="InternetLink"/>
                  <w:rFonts w:ascii="Times New Roman;serif" w:hAnsi="Times New Roman;serif"/>
                  <w:b w:val="false"/>
                  <w:color w:val="0000FF"/>
                  <w:sz w:val="20"/>
                  <w:u w:val="single"/>
                </w:rPr>
                <w:t>ITEM 2. PROPERTIES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34">
              <w:r>
                <w:rPr>
                  <w:rStyle w:val="InternetLink"/>
                  <w:rFonts w:ascii="Times New Roman;serif" w:hAnsi="Times New Roman;serif"/>
                  <w:b w:val="false"/>
                  <w:color w:val="0030F1"/>
                  <w:sz w:val="20"/>
                  <w:u w:val="single"/>
                </w:rPr>
                <w:t>48</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37">
              <w:r>
                <w:rPr>
                  <w:rStyle w:val="InternetLink"/>
                  <w:rFonts w:ascii="Times New Roman;serif" w:hAnsi="Times New Roman;serif"/>
                  <w:b w:val="false"/>
                  <w:color w:val="0030F1"/>
                  <w:sz w:val="20"/>
                  <w:u w:val="single"/>
                </w:rPr>
                <w:t>ITEM 3. LEGAL PROCEEDINGS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37">
              <w:r>
                <w:rPr>
                  <w:rStyle w:val="InternetLink"/>
                  <w:rFonts w:ascii="Times New Roman;serif" w:hAnsi="Times New Roman;serif"/>
                  <w:b w:val="false"/>
                  <w:color w:val="0030F1"/>
                  <w:sz w:val="20"/>
                  <w:u w:val="single"/>
                </w:rPr>
                <w:t>48</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40">
              <w:r>
                <w:rPr>
                  <w:rStyle w:val="InternetLink"/>
                  <w:rFonts w:ascii="Times New Roman;serif" w:hAnsi="Times New Roman;serif"/>
                  <w:b w:val="false"/>
                  <w:color w:val="0030F1"/>
                  <w:sz w:val="20"/>
                  <w:u w:val="single"/>
                </w:rPr>
                <w:t>ITEM 4. 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40">
              <w:r>
                <w:rPr>
                  <w:rStyle w:val="InternetLink"/>
                  <w:rFonts w:ascii="Times New Roman;serif" w:hAnsi="Times New Roman;serif"/>
                  <w:b w:val="false"/>
                  <w:color w:val="0030F1"/>
                  <w:sz w:val="20"/>
                  <w:u w:val="single"/>
                </w:rPr>
                <w:t>48</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43">
              <w:r>
                <w:rPr>
                  <w:rStyle w:val="InternetLink"/>
                  <w:rFonts w:ascii="Times New Roman;serif" w:hAnsi="Times New Roman;serif"/>
                  <w:b/>
                  <w:color w:val="000000"/>
                  <w:sz w:val="20"/>
                  <w:u w:val="single"/>
                </w:rPr>
                <w:t>PART II</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aca5f4767c9461895b71eac8785f0af_46">
              <w:r>
                <w:rPr>
                  <w:rStyle w:val="InternetLink"/>
                  <w:rFonts w:ascii="Times New Roman;serif" w:hAnsi="Times New Roman;serif"/>
                  <w:b w:val="false"/>
                  <w:color w:val="0030F1"/>
                  <w:sz w:val="20"/>
                  <w:u w:val="single"/>
                </w:rPr>
                <w:t>ITEM 5. MARKET FOR REGISTRANT'S COMMON EQUITY, RELATED STOCKHOLDER MATTERS AND ISSUER PURCHASES OF EQUITY SECURITIES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46">
              <w:r>
                <w:rPr>
                  <w:rStyle w:val="InternetLink"/>
                  <w:rFonts w:ascii="Times New Roman;serif" w:hAnsi="Times New Roman;serif"/>
                  <w:b w:val="false"/>
                  <w:color w:val="0030F1"/>
                  <w:sz w:val="20"/>
                  <w:u w:val="single"/>
                </w:rPr>
                <w:t>49</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49">
              <w:r>
                <w:rPr>
                  <w:rStyle w:val="InternetLink"/>
                  <w:rFonts w:ascii="Times New Roman;serif" w:hAnsi="Times New Roman;serif"/>
                  <w:b w:val="false"/>
                  <w:color w:val="000080"/>
                  <w:sz w:val="20"/>
                  <w:u w:val="single"/>
                </w:rPr>
                <w:t xml:space="preserve">ITEM 6. </w:t>
              </w:r>
            </w:hyperlink>
            <w:r>
              <w:rPr>
                <w:rFonts w:ascii="Times New Roman;serif" w:hAnsi="Times New Roman;serif"/>
                <w:b w:val="false"/>
                <w:color w:val="0030F1"/>
                <w:sz w:val="20"/>
                <w:u w:val="single"/>
              </w:rPr>
              <w:t>[RESERVED]</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49">
              <w:r>
                <w:rPr>
                  <w:rStyle w:val="InternetLink"/>
                  <w:rFonts w:ascii="Times New Roman;serif" w:hAnsi="Times New Roman;serif"/>
                  <w:b w:val="false"/>
                  <w:color w:val="0030F1"/>
                  <w:sz w:val="20"/>
                  <w:u w:val="single"/>
                </w:rPr>
                <w:t>50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aca5f4767c9461895b71eac8785f0af_52">
              <w:r>
                <w:rPr>
                  <w:rStyle w:val="InternetLink"/>
                  <w:rFonts w:ascii="Times New Roman;serif" w:hAnsi="Times New Roman;serif"/>
                  <w:b w:val="false"/>
                  <w:color w:val="000080"/>
                  <w:sz w:val="20"/>
                  <w:u w:val="single"/>
                </w:rPr>
                <w:t>ITEM 7. MANAGEMENT’S DISCUSSION AND ANALYSIS OF FINANCIAL</w:t>
              </w:r>
            </w:hyperlink>
            <w:r>
              <w:rPr>
                <w:rFonts w:ascii="Times New Roman;serif" w:hAnsi="Times New Roman;serif"/>
                <w:b w:val="false"/>
                <w:color w:val="0030F1"/>
                <w:sz w:val="20"/>
                <w:u w:val="single"/>
              </w:rPr>
              <w:t xml:space="preserve"> CONDITION AND RESULTS OF OPERATIONS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52">
              <w:r>
                <w:rPr>
                  <w:rStyle w:val="InternetLink"/>
                  <w:rFonts w:ascii="Times New Roman;serif" w:hAnsi="Times New Roman;serif"/>
                  <w:b w:val="false"/>
                  <w:color w:val="0030F1"/>
                  <w:sz w:val="20"/>
                  <w:u w:val="single"/>
                </w:rPr>
                <w:t>51</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85">
              <w:r>
                <w:rPr>
                  <w:rStyle w:val="InternetLink"/>
                  <w:rFonts w:ascii="Times New Roman;serif" w:hAnsi="Times New Roman;serif"/>
                  <w:b w:val="false"/>
                  <w:color w:val="0030F1"/>
                  <w:sz w:val="20"/>
                  <w:u w:val="single"/>
                </w:rPr>
                <w:t>ITEM 7A. 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85">
              <w:r>
                <w:rPr>
                  <w:rStyle w:val="InternetLink"/>
                  <w:rFonts w:ascii="Times New Roman;serif" w:hAnsi="Times New Roman;serif"/>
                  <w:b w:val="false"/>
                  <w:color w:val="0030F1"/>
                  <w:sz w:val="20"/>
                  <w:u w:val="single"/>
                </w:rPr>
                <w:t>72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88">
              <w:r>
                <w:rPr>
                  <w:rStyle w:val="InternetLink"/>
                  <w:rFonts w:ascii="Times New Roman;serif" w:hAnsi="Times New Roman;serif"/>
                  <w:b w:val="false"/>
                  <w:color w:val="000080"/>
                  <w:sz w:val="20"/>
                  <w:u w:val="single"/>
                </w:rPr>
                <w:t xml:space="preserve">ITEM 8. FINANCIAL STATEMENTS </w:t>
              </w:r>
            </w:hyperlink>
            <w:r>
              <w:rPr>
                <w:rFonts w:ascii="Times New Roman;serif" w:hAnsi="Times New Roman;serif"/>
                <w:b w:val="false"/>
                <w:color w:val="0030F1"/>
                <w:sz w:val="20"/>
                <w:u w:val="single"/>
              </w:rPr>
              <w:t>AND SUPPLEMENTARY DATA</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88">
              <w:r>
                <w:rPr>
                  <w:rStyle w:val="InternetLink"/>
                  <w:rFonts w:ascii="Times New Roman;serif" w:hAnsi="Times New Roman;serif"/>
                  <w:b w:val="false"/>
                  <w:color w:val="0030F1"/>
                  <w:sz w:val="20"/>
                  <w:u w:val="single"/>
                </w:rPr>
                <w:t>73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aca5f4767c9461895b71eac8785f0af_199">
              <w:r>
                <w:rPr>
                  <w:rStyle w:val="InternetLink"/>
                  <w:rFonts w:ascii="Times New Roman;serif" w:hAnsi="Times New Roman;serif"/>
                  <w:b w:val="false"/>
                  <w:color w:val="000080"/>
                  <w:sz w:val="20"/>
                  <w:u w:val="single"/>
                </w:rPr>
                <w:t>ITEM 9. CHANGES IN AND DISAGREEMENTS WITH ACCOUNTANTS</w:t>
              </w:r>
            </w:hyperlink>
            <w:r>
              <w:rPr>
                <w:rFonts w:ascii="Times New Roman;serif" w:hAnsi="Times New Roman;serif"/>
                <w:b w:val="false"/>
                <w:color w:val="0030F1"/>
                <w:sz w:val="20"/>
                <w:u w:val="single"/>
              </w:rPr>
              <w:t xml:space="preserve"> ON ACCOUNTING AND FINANCIAL DISCLOSURE</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199">
              <w:r>
                <w:rPr>
                  <w:rStyle w:val="InternetLink"/>
                  <w:rFonts w:ascii="Times New Roman;serif" w:hAnsi="Times New Roman;serif"/>
                  <w:b w:val="false"/>
                  <w:color w:val="0030F1"/>
                  <w:sz w:val="20"/>
                  <w:u w:val="single"/>
                </w:rPr>
                <w:t>122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02">
              <w:r>
                <w:rPr>
                  <w:rStyle w:val="InternetLink"/>
                  <w:rFonts w:ascii="Times New Roman;serif" w:hAnsi="Times New Roman;serif"/>
                  <w:b w:val="false"/>
                  <w:color w:val="0030F1"/>
                  <w:sz w:val="20"/>
                  <w:u w:val="single"/>
                </w:rPr>
                <w:t>ITEM 9A. 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02">
              <w:r>
                <w:rPr>
                  <w:rStyle w:val="InternetLink"/>
                  <w:rFonts w:ascii="Times New Roman;serif" w:hAnsi="Times New Roman;serif"/>
                  <w:b w:val="false"/>
                  <w:color w:val="0030F1"/>
                  <w:sz w:val="20"/>
                  <w:u w:val="single"/>
                </w:rPr>
                <w:t>122</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08">
              <w:r>
                <w:rPr>
                  <w:rStyle w:val="InternetLink"/>
                  <w:rFonts w:ascii="Times New Roman;serif" w:hAnsi="Times New Roman;serif"/>
                  <w:b w:val="false"/>
                  <w:color w:val="0030F1"/>
                  <w:sz w:val="20"/>
                  <w:u w:val="single"/>
                </w:rPr>
                <w:t>ITEM 9B. 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08">
              <w:r>
                <w:rPr>
                  <w:rStyle w:val="InternetLink"/>
                  <w:rFonts w:ascii="Times New Roman;serif" w:hAnsi="Times New Roman;serif"/>
                  <w:b w:val="false"/>
                  <w:color w:val="0030F1"/>
                  <w:sz w:val="20"/>
                  <w:u w:val="single"/>
                </w:rPr>
                <w:t>124</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14">
              <w:r>
                <w:rPr>
                  <w:rStyle w:val="InternetLink"/>
                  <w:rFonts w:ascii="Times New Roman;serif" w:hAnsi="Times New Roman;serif"/>
                  <w:b w:val="false"/>
                  <w:color w:val="0000FF"/>
                  <w:sz w:val="20"/>
                  <w:u w:val="single"/>
                </w:rPr>
                <w:t>ITEM 9C. DISCLOSURE REGARDING FOREIGN JURISDICTIONS THAT PREVENT INSPECTIONS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14">
              <w:r>
                <w:rPr>
                  <w:rStyle w:val="InternetLink"/>
                  <w:rFonts w:ascii="Times New Roman;serif" w:hAnsi="Times New Roman;serif"/>
                  <w:b w:val="false"/>
                  <w:color w:val="0030F1"/>
                  <w:sz w:val="20"/>
                  <w:u w:val="single"/>
                </w:rPr>
                <w:t>124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17">
              <w:r>
                <w:rPr>
                  <w:rStyle w:val="InternetLink"/>
                  <w:rFonts w:ascii="Times New Roman;serif" w:hAnsi="Times New Roman;serif"/>
                  <w:b/>
                  <w:color w:val="000000"/>
                  <w:sz w:val="20"/>
                  <w:u w:val="single"/>
                </w:rPr>
                <w:t>PART III</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20">
              <w:r>
                <w:rPr>
                  <w:rStyle w:val="InternetLink"/>
                  <w:rFonts w:ascii="Times New Roman;serif" w:hAnsi="Times New Roman;serif"/>
                  <w:b w:val="false"/>
                  <w:color w:val="0030F1"/>
                  <w:sz w:val="20"/>
                  <w:u w:val="single"/>
                </w:rPr>
                <w:t>ITEM 10. DIRECTORS, EXECUTIVE OFFICERS AND CORPORATE GOVERNANCE</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20">
              <w:r>
                <w:rPr>
                  <w:rStyle w:val="InternetLink"/>
                  <w:rFonts w:ascii="Times New Roman;serif" w:hAnsi="Times New Roman;serif"/>
                  <w:b w:val="false"/>
                  <w:color w:val="0030F1"/>
                  <w:sz w:val="20"/>
                  <w:u w:val="single"/>
                </w:rPr>
                <w:t>125</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23">
              <w:r>
                <w:rPr>
                  <w:rStyle w:val="InternetLink"/>
                  <w:rFonts w:ascii="Times New Roman;serif" w:hAnsi="Times New Roman;serif"/>
                  <w:b w:val="false"/>
                  <w:color w:val="0030F1"/>
                  <w:sz w:val="20"/>
                  <w:u w:val="single"/>
                </w:rPr>
                <w:t>ITEM 11. EXECUTIVE COMPENSATION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23">
              <w:r>
                <w:rPr>
                  <w:rStyle w:val="InternetLink"/>
                  <w:rFonts w:ascii="Times New Roman;serif" w:hAnsi="Times New Roman;serif"/>
                  <w:b w:val="false"/>
                  <w:color w:val="0030F1"/>
                  <w:sz w:val="20"/>
                  <w:u w:val="single"/>
                </w:rPr>
                <w:t>125</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aca5f4767c9461895b71eac8785f0af_226">
              <w:r>
                <w:rPr>
                  <w:rStyle w:val="InternetLink"/>
                  <w:rFonts w:ascii="Times New Roman;serif" w:hAnsi="Times New Roman;serif"/>
                  <w:b w:val="false"/>
                  <w:color w:val="000080"/>
                  <w:sz w:val="20"/>
                  <w:u w:val="single"/>
                </w:rPr>
                <w:t>ITEM 12.</w:t>
              </w:r>
            </w:hyperlink>
            <w:r>
              <w:rPr>
                <w:rFonts w:ascii="Times New Roman;serif" w:hAnsi="Times New Roman;serif"/>
                <w:b w:val="false"/>
                <w:color w:val="0030F1"/>
                <w:sz w:val="20"/>
                <w:u w:val="single"/>
              </w:rPr>
              <w:t xml:space="preserve"> SECURITY OWNERSHIP OF CERTAIN BENEFICIAL OWNERS AND MANAGEMENT AND RELATED STOCKHOLDER MATTERS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26">
              <w:r>
                <w:rPr>
                  <w:rStyle w:val="InternetLink"/>
                  <w:rFonts w:ascii="Times New Roman;serif" w:hAnsi="Times New Roman;serif"/>
                  <w:b w:val="false"/>
                  <w:color w:val="0030F1"/>
                  <w:sz w:val="20"/>
                  <w:u w:val="single"/>
                </w:rPr>
                <w:t>126</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aca5f4767c9461895b71eac8785f0af_229">
              <w:r>
                <w:rPr>
                  <w:rStyle w:val="InternetLink"/>
                  <w:rFonts w:ascii="Times New Roman;serif" w:hAnsi="Times New Roman;serif"/>
                  <w:b w:val="false"/>
                  <w:color w:val="000080"/>
                  <w:sz w:val="20"/>
                  <w:u w:val="single"/>
                </w:rPr>
                <w:t>ITEM 13. CERTAIN RELATIONSHIPS AND RELATED TRANSACTIONS</w:t>
              </w:r>
            </w:hyperlink>
            <w:r>
              <w:rPr>
                <w:rFonts w:ascii="Times New Roman;serif" w:hAnsi="Times New Roman;serif"/>
                <w:b w:val="false"/>
                <w:color w:val="0030F1"/>
                <w:sz w:val="20"/>
                <w:u w:val="single"/>
              </w:rPr>
              <w:t>, AND DIRECTOR INDEPENDENCE</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29">
              <w:r>
                <w:rPr>
                  <w:rStyle w:val="InternetLink"/>
                  <w:rFonts w:ascii="Times New Roman;serif" w:hAnsi="Times New Roman;serif"/>
                  <w:b w:val="false"/>
                  <w:color w:val="0030F1"/>
                  <w:sz w:val="20"/>
                  <w:u w:val="single"/>
                </w:rPr>
                <w:t>126</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32">
              <w:r>
                <w:rPr>
                  <w:rStyle w:val="InternetLink"/>
                  <w:rFonts w:ascii="Times New Roman;serif" w:hAnsi="Times New Roman;serif"/>
                  <w:b w:val="false"/>
                  <w:color w:val="000080"/>
                  <w:sz w:val="20"/>
                  <w:u w:val="single"/>
                </w:rPr>
                <w:t>ITEM 14. PRINCIPAL ACCOUNTING FEES</w:t>
              </w:r>
            </w:hyperlink>
            <w:r>
              <w:rPr>
                <w:rFonts w:ascii="Times New Roman;serif" w:hAnsi="Times New Roman;serif"/>
                <w:b w:val="false"/>
                <w:color w:val="0030F1"/>
                <w:sz w:val="20"/>
                <w:u w:val="single"/>
              </w:rPr>
              <w:t xml:space="preserve"> AND SERVICES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32">
              <w:r>
                <w:rPr>
                  <w:rStyle w:val="InternetLink"/>
                  <w:rFonts w:ascii="Times New Roman;serif" w:hAnsi="Times New Roman;serif"/>
                  <w:b w:val="false"/>
                  <w:color w:val="0030F1"/>
                  <w:sz w:val="20"/>
                  <w:u w:val="single"/>
                </w:rPr>
                <w:t>126</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35">
              <w:r>
                <w:rPr>
                  <w:rStyle w:val="InternetLink"/>
                  <w:rFonts w:ascii="Times New Roman;serif" w:hAnsi="Times New Roman;serif"/>
                  <w:b/>
                  <w:color w:val="000000"/>
                  <w:sz w:val="20"/>
                  <w:u w:val="single"/>
                </w:rPr>
                <w:t>PART IV</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38">
              <w:r>
                <w:rPr>
                  <w:rStyle w:val="InternetLink"/>
                  <w:rFonts w:ascii="Times New Roman;serif" w:hAnsi="Times New Roman;serif"/>
                  <w:b w:val="false"/>
                  <w:color w:val="000080"/>
                  <w:sz w:val="20"/>
                  <w:u w:val="single"/>
                </w:rPr>
                <w:t>ITEM 15. EXHIBIT</w:t>
              </w:r>
            </w:hyperlink>
            <w:r>
              <w:rPr>
                <w:rFonts w:ascii="Times New Roman;serif" w:hAnsi="Times New Roman;serif"/>
                <w:b w:val="false"/>
                <w:color w:val="0030F1"/>
                <w:sz w:val="20"/>
                <w:u w:val="single"/>
              </w:rPr>
              <w:t xml:space="preserve"> AND FINANCIAL STATEMENT SCHEDULES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38">
              <w:r>
                <w:rPr>
                  <w:rStyle w:val="InternetLink"/>
                  <w:rFonts w:ascii="Times New Roman;serif" w:hAnsi="Times New Roman;serif"/>
                  <w:b w:val="false"/>
                  <w:color w:val="0030F1"/>
                  <w:sz w:val="20"/>
                  <w:u w:val="single"/>
                </w:rPr>
                <w:t>127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41">
              <w:r>
                <w:rPr>
                  <w:rStyle w:val="InternetLink"/>
                  <w:rFonts w:ascii="Times New Roman;serif" w:hAnsi="Times New Roman;serif"/>
                  <w:b w:val="false"/>
                  <w:color w:val="0030F1"/>
                  <w:sz w:val="20"/>
                  <w:u w:val="single"/>
                </w:rPr>
                <w:t>ITEM 16. FORM 10-K SUMMARY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41">
              <w:r>
                <w:rPr>
                  <w:rStyle w:val="InternetLink"/>
                  <w:rFonts w:ascii="Times New Roman;serif" w:hAnsi="Times New Roman;serif"/>
                  <w:b w:val="false"/>
                  <w:color w:val="0030F1"/>
                  <w:sz w:val="20"/>
                  <w:u w:val="single"/>
                </w:rPr>
                <w:t>130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ca5f4767c9461895b71eac8785f0af_244">
              <w:r>
                <w:rPr>
                  <w:rStyle w:val="InternetLink"/>
                  <w:rFonts w:ascii="Times New Roman;serif" w:hAnsi="Times New Roman;serif"/>
                  <w:b w:val="false"/>
                  <w:color w:val="0030F1"/>
                  <w:sz w:val="20"/>
                  <w:u w:val="single"/>
                </w:rPr>
                <w:t>SIGNATURES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aca5f4767c9461895b71eac8785f0af_244">
              <w:r>
                <w:rPr>
                  <w:rStyle w:val="InternetLink"/>
                  <w:rFonts w:ascii="Times New Roman;serif" w:hAnsi="Times New Roman;serif"/>
                  <w:b w:val="false"/>
                  <w:color w:val="0030F1"/>
                  <w:sz w:val="20"/>
                  <w:u w:val="single"/>
                </w:rPr>
                <w:t>131</w:t>
              </w:r>
            </w:hyperlink>
          </w:p>
        </w:tc>
      </w:tr>
    </w:tbl>
    <w:p>
      <w:pPr>
        <w:pStyle w:val="TextBody"/>
        <w:bidi w:val="0"/>
        <w:spacing w:before="200" w:after="283"/>
        <w:jc w:val="left"/>
        <w:rPr/>
      </w:pPr>
      <w:r>
        <w:rPr/>
      </w:r>
    </w:p>
    <w:p>
      <w:pPr>
        <w:pStyle w:val="TextBody"/>
        <w:bidi w:val="0"/>
        <w:spacing w:before="24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240" w:after="283"/>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in this Annual Report on Form 10-K,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on Form 10-K, including, without limitation, statements regarding: current and future health and stability of the real estate housing market and general economy; volatility of mortgage interest rates; changes in resale clearance rates and expectations regarding future behavior of consumers and partners; the health and status of our financial condition; our liquidity position and expectations with respect to our debt and equity financing; anticipated future results of operations or financial performance; priorities of the Company to achieve future financial and business goals; impacts to our business from political and regulatory activity, including recent trade policies and potential increased tariffs; the likelihood of offer acceptance among high-quality homes in response to refinements to our spread policy; our ability to continue to effectively navigate the markets in which we operate; anticipated future and ongoing impacts and benefits of acquisitions, partnership channel expansions, product innovations and other business decisions; health of our balance sheet to weather ongoing market transitions and any expectation to quickly re-scale in the future upon market stabilization; our ability to adopt an effective approach to manage economic and industry risk, as well as inventory health, including by improving the quality of homes in our portfolio and supporting faster sell-through; our expectations with respect to the future success of our partnerships; our business strategy and plans, including plans to grow market share; market opportunity and expansion and objectives of management for future operations, including statements regarding the benefits and timing of the roll out of new products or technology; and the expected diversification of funding sources, are forward-looking statements. When used in this Annual Report on Form 10-K,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Annual Report on Form 10-K and current expectations, forecasts and assumptions, which involve a number of judgments, risks and uncertainties, including without limitation, risks related to:</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the current and future health and stability of the economy, financial conditions and residential housing market, including any extended downturns or slowdowns;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may impact demand for our products and services, lower our profitability or reduce our access to future financings;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real estate assets and increased competition in the U.S. residential real estate industry;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ability to operate and grow our core business products, including the ability to obtain sufficient financing and resell purchased homes;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investment of resources to pursue strategies and develop new products and services that may not prove effective or that are not attractive to customers and real estate partners or that do not allow us to compete successfully;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acquire and resell homes profitably;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grow market share;</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leverage artificial intelligence (“AI”) to drive operational efficiency;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expeditiously sell and appropriately price our inventory;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manage our liquidity and capital resources and access sources of capital, including our ability to satisfy the obligations of our outstanding convertible notes, our ability to conduct debt and equity financings and our ability to complete securitization financings to support our real estate inventories;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maintain and enhance our products and brand, and to attract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manage, develop and refine our digital platform, including our automated pricing and valuation technology;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realize expected benefits from our restructuring and cost reduction efforts;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comply with multiple listing service rules and requirements to access and use listing data, and to maintain or establish relationships with listings and data providers;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obtain or maintain licenses and permits to support our current and future business operations;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acquisitions, strategic partnerships, joint ventures, capital-raising activities or other corporate transactions or commitments by us or our competitors;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actual or anticipated changes in technology, products, markets or services by us or our competitors;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our success in retaining or recruiting, or changes required in, our officers, key employees and/or directors;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the impact of the regulatory environment and potential regulatory instability within our industry and complexities with compliance related to such environment;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any future impact of pandemics, epidemics, or other public health crises on our ability to operate, demand for our products or services, or general economic conditions;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maintain our listing on the Nasdaq Global Select Market;</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changes in laws or government regulation affecting our business;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the impact of pending or any future litigation or regulatory actions;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the other important factors described in Part I. Item 1A “ Risk Factors” in this Annual Report on Form 10-K.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You should not place undue reliance on these forward-looking statements. Additionally, our discussion of certain environmental, social and governance (“ESG”) assessments, goals and related issues in this or other disclosures is informed by various ESG standards and frameworks (including standards for the measurement of underlying data) and the interests of various stakeholders. As such, such information may not, and should not be interpreted as necessarily being, “material” under the federal securities laws for SEC reporting purposes. Furthermore, much of this information is subject to assumptions, estimates or third-party information that is still evolving and subject to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represent challenges that we face in connection with the successful implementation of our strategy and the growth of our business. Below is a summary of material factors that may offset our competitive strengths or have a negative effect on our business strategy or operating results, which could cause a decline in the price of shares of our common stock.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noBreakHyphen/>
        <w:t>K. The below summary is qualified in its entirety by that more complete discussion of such risks and uncertainties.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and operating results have been and may in the future be significantly impacted by general economic conditions, the health of the U.S. residential real estate industry and risks associated with our real estate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a history of losses, and we may not achieve or maintain profitability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operate in a competitive and fragmented industry that could impair our ability to attract users of our products, which could harm our business,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business is dependent upon our ability to appropriately price and manage our portfolio of inventory. An ineffective pricing or portfolio management strategy may have a material adverse effect on our business, sales,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is dependent upon our ability to expeditiously sell inventory. Failure to expeditiously sell our inventory could have an adverse effect on our business, sales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realize expected benefits from our restructuring and cost reduction efforts and our business might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Declines in real estate values have resulted in, and could continue to result in, inventory valuation adjustments, which have and may continue to adversely affect our financial condition and operating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growth depends in part on the success of our strategic relationships with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is dependent upon access to desirable inventory. Obstacles to acquiring attractive inventory, whether because of supply, competition, macroeconomic conditions, or other factors may have a material adverse effect on our business, sales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process, store and use Personal Information (as defined herein) and other data, which subjects us to governmental regulation and other legal obligations related to privacy, and any violation or perceived violation of these privacy obligations could result in a claim for damages, regulatory action, loss of business, or unfavorable publicity.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Issues in, and increasing regulation with respect to, the development and use of AI may result in reputational harm or liability.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and may in the future be, subject to securities litigation, which is expensive and could divert management attention.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utilize a significant amount of debt and financing arrangements in the operation of our business. Our cash flows and operating results could be adversely affected by required payments of debt or related interest and other risks of our debt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Mission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mission is to tilt the world in favor of homeowners, by making homeownership simpler, faster, and fairer for everyone.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e-commerce platform for residential real estate transactions and the largest U.S. iBuyer. Since founding Opendoor in 2014, our goal has been to reinvent one of life's most important transactions by enabling homeowners to buy, sell, and move through a simple, certain, and largely digital experience. By leveraging artificial intelligence, data science and purpose-built software, we enable consumers to transact directly with Opendoor, eliminating traditional friction and intermediaries. Our platform combines product design and operations to create what we believe will be the future of how people buy or sell a home.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Residential real estate is the largest consumer category in the United States. In 2025 alone, more than four million existing homes were sold, representing approximately $1.7 trillion in transactions. Additionally, with approximately two-thirds of Americans living in a home they own, housing is the single largest consumer expenditure in the United States, ahead of transportation, food, insurance, and healthcare.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Yet, in a world where purchases are increasingly migrating online, the real estate transaction has largely remained unchanged. The typical process of buying or selling a home is complex, uncertain, time consuming, and primarily offline. A traditional home sale requires countless decisions and an average of six intermediaries, often brings unexpected costs, and takes approximately three months from start to finish. Ultimately, the consumer is left dissatisfied with a broken, disjointed experience.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Opendoor transforms the home selling and buying process into a simple and certain online experience. Since launch, customers have demonstrated their desire for our digital, on-demand real estate solution with over 294,000 homes bought and sold by Opendoor across the United States. In 2025, we sold over 11,700 homes and generated $4.4 billion in revenue while continuing to delight customers, maintaining an average Net Promoter Score (“NPS”) of nearly 80 from our sellers since 2021.</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initial market launch in Phoenix in 2014, we have expanded across the United States and operated in 50 markets going into 2025. In late 2025, we began expanding our buybox from a limited set of geographies to effectively nationwide coverage across the contiguous United States, with the ability to make offers in substantially all residential zip codes.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we are still in the early stages of the digital transformation of real estate. Powered by artificial intelligence and advanced technology, we are building a real estate platform that enables buyers and sellers to transact with Opendoor digitally, with fewer intermediaries and with simplicity, certainty, and control over the entire process. We're creating an experience where consumers can buy or sell a home as easily as they book travel or shop online today.</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Market Overview</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Residential real estate is a massive offline market.</w:t>
      </w:r>
      <w:r>
        <w:rPr>
          <w:color w:val="000000"/>
        </w:rPr>
        <w:t> </w:t>
      </w:r>
      <w:r>
        <w:rPr>
          <w:rFonts w:ascii="Times New Roman;serif" w:hAnsi="Times New Roman;serif"/>
          <w:b w:val="false"/>
          <w:color w:val="000000"/>
          <w:sz w:val="20"/>
        </w:rPr>
        <w:t xml:space="preserve">Of the $1.7 trillion residential real estate transactions in 2025, the vast majority remain offline, channeled through traditional agents and brokers. Digital-first platforms like Opendoor that enable direct transactions captured less than 1% of the market, representing a significant opportunity to bring this category online. </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The current landscape is highly fragmented.</w:t>
      </w:r>
      <w:r>
        <w:rPr>
          <w:color w:val="000000"/>
        </w:rPr>
        <w:t> </w:t>
      </w:r>
      <w:r>
        <w:rPr>
          <w:rFonts w:ascii="Times New Roman;serif" w:hAnsi="Times New Roman;serif"/>
          <w:b w:val="false"/>
          <w:color w:val="000000"/>
          <w:sz w:val="20"/>
        </w:rPr>
        <w:t>Today, nearly 90% of residential real estate transactions in the United States involve an agent. There are over two million licensed real estate agents in the United States, who each complete approximately four transactions on average per year, and many of whom do not solely work in real estate. Without appropriate support, this can lead to an inconsistent experience for consumers looking for guidance in what is typically the largest financial decision of their lives. Consumer satisfaction reflects this broken experience, with traditional real estate transactions generating Net Promoter Scores around 30, significantly below other major consumer categories and well below Opendoor's average NPS of nearly 80.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Traditional transactions involve multiple value-capturing intermediaries</w:t>
      </w:r>
      <w:r>
        <w:rPr>
          <w:rFonts w:ascii="Times New Roman;serif" w:hAnsi="Times New Roman;serif"/>
          <w:b w:val="false"/>
          <w:color w:val="000000"/>
          <w:sz w:val="20"/>
        </w:rPr>
        <w:t>. In a typical transaction, separate parties provide mortgage origination, title and escrow services, home warranties, insurance, and other related services, each capturing fees and adding complexity. By establishing direct relationships with consumers through a digital platform, Opendoor can offer these services seamlessly within a single integrated experience. This broader residential real estate ecosystem represents a substantial incremental market opportunity for a comprehensive digital platform.</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Real estate is migrating online.</w:t>
      </w:r>
      <w:r>
        <w:rPr>
          <w:color w:val="000000"/>
        </w:rPr>
        <w:t> </w:t>
      </w:r>
      <w:r>
        <w:rPr>
          <w:rFonts w:ascii="Times New Roman;serif" w:hAnsi="Times New Roman;serif"/>
          <w:b w:val="false"/>
          <w:color w:val="000000"/>
          <w:sz w:val="20"/>
        </w:rPr>
        <w:t>Consumers are shifting their spend online and demanding digital-first experiences for greater efficiency, certainty, and speed. E-commerce now represents over 15% of total retail spending, and over 70% of travel bookings are completed online, yet less than 1% of residential real estate transactions are completed digitally, highlighting the significant transformation opportunity ahead. While the vast majority of home buyers browse for homes online, the transaction itself is still largely offline, creating an opportunity to eliminate traditional intermediaries and enable consumers to transact with simplicity and control.</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The Problem</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traditional offline, intermediated process of selling or buying a home creates uncertainty, complexity, and lack of control for consumers. For nearly 90% of United States sellers that list their home on the market using an agent, the typical experience involves coordinating with multiple parties over several months, with significant risk of delays or deal failure. This broken process stems from reliance on fragmented intermediaries and analog systems, creating pain points at every stage: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Find a listing agent.</w:t>
      </w:r>
      <w:r>
        <w:rPr>
          <w:color w:val="000000"/>
        </w:rPr>
        <w:t> </w:t>
      </w:r>
      <w:r>
        <w:rPr>
          <w:rFonts w:ascii="Times New Roman;serif" w:hAnsi="Times New Roman;serif"/>
          <w:b w:val="false"/>
          <w:color w:val="000000"/>
          <w:sz w:val="20"/>
        </w:rPr>
        <w:t>Before the seller can list, they must find a qualified agent. Approximately 80% of sellers contact only one real estate agent before listing.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Prepare the home for listing. </w:t>
      </w:r>
      <w:r>
        <w:rPr>
          <w:rFonts w:ascii="Times New Roman;serif" w:hAnsi="Times New Roman;serif"/>
          <w:b w:val="false"/>
          <w:color w:val="000000"/>
          <w:sz w:val="20"/>
        </w:rPr>
        <w:t>The seller often needs to get the home “sale ready.” This preparation, including cleaning, staging and any necessary upgrades, typically involves a lot of guesswork, time, and money.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List the home. </w:t>
      </w:r>
      <w:r>
        <w:rPr>
          <w:rFonts w:ascii="Times New Roman;serif" w:hAnsi="Times New Roman;serif"/>
          <w:b w:val="false"/>
          <w:color w:val="000000"/>
          <w:sz w:val="20"/>
        </w:rPr>
        <w:t>A home typically needs to be listed for over 50 days on average before it goes into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Host open houses and home visits</w:t>
      </w:r>
      <w:r>
        <w:rPr>
          <w:rFonts w:ascii="Times New Roman;serif" w:hAnsi="Times New Roman;serif"/>
          <w:b w:val="false"/>
          <w:color w:val="000000"/>
          <w:sz w:val="20"/>
        </w:rPr>
        <w:t>. During the process, the seller will typically host dozens of strangers walking through their home, and deal with the hassle of cleaning up and clearing out, often on short notice and during inconvenient times.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Receive an offer. </w:t>
      </w:r>
      <w:r>
        <w:rPr>
          <w:rFonts w:ascii="Times New Roman;serif" w:hAnsi="Times New Roman;serif"/>
          <w:b w:val="false"/>
          <w:color w:val="000000"/>
          <w:sz w:val="20"/>
        </w:rPr>
        <w:t>Over 35% of home sellers reduce their asking price at least once, while over 20% of sellers offer incentives to attract buyers. Once an offer is received, the seller has to negotiate the offer, negotiate the closing date, and deal with any contingencies the buyer may have.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Negotiate repairs or fix issues identified by buyers.</w:t>
      </w:r>
      <w:r>
        <w:rPr>
          <w:color w:val="000000"/>
        </w:rPr>
        <w:t> </w:t>
      </w:r>
      <w:r>
        <w:rPr>
          <w:rFonts w:ascii="Times New Roman;serif" w:hAnsi="Times New Roman;serif"/>
          <w:b w:val="false"/>
          <w:color w:val="000000"/>
          <w:sz w:val="20"/>
        </w:rPr>
        <w:t>After the offer is accepted, the buyer typically conducts an inspection, which often forces the seller to renegotiate the offer or fix issues, increasing the homeowner’s costs and potentially delaying closing.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Wait for closing.</w:t>
      </w:r>
      <w:r>
        <w:rPr>
          <w:color w:val="000000"/>
        </w:rPr>
        <w:t> </w:t>
      </w:r>
      <w:r>
        <w:rPr>
          <w:rFonts w:ascii="Times New Roman;serif" w:hAnsi="Times New Roman;serif"/>
          <w:b w:val="false"/>
          <w:color w:val="000000"/>
          <w:sz w:val="20"/>
        </w:rPr>
        <w:t>Once the contract is signed, it still takes 35 days on average to close. The seller is reliant on the home buyer and a disparate set of counterparties — such as their agent, mortgage broker and escrow officer — to coordinate and complete the closing process.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Fall-through risk.</w:t>
      </w:r>
      <w:r>
        <w:rPr>
          <w:color w:val="000000"/>
        </w:rPr>
        <w:t> </w:t>
      </w:r>
      <w:r>
        <w:rPr>
          <w:rFonts w:ascii="Times New Roman;serif" w:hAnsi="Times New Roman;serif"/>
          <w:b w:val="false"/>
          <w:color w:val="000000"/>
          <w:sz w:val="20"/>
        </w:rPr>
        <w:t>Finally, there is nearly a 20% chance the contract falls through between signing and closing (based on average multiple listing services (“MLS”) contract fall-through rates in our markets in 2025), forcing the home seller to start the entire process all over again.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Risk of delisting</w:t>
      </w:r>
      <w:r>
        <w:rPr>
          <w:rFonts w:ascii="Times New Roman;serif" w:hAnsi="Times New Roman;serif"/>
          <w:b w:val="false"/>
          <w:color w:val="000000"/>
          <w:sz w:val="20"/>
        </w:rPr>
        <w:t>. Even after enduring the listing process, there is no guarantee of a sale. In 2025, the ratio of homes being delisted relative to contracts has reached historical highs, frequently exceeding 25% on a monthly basis. This means a significant portion of sellers invest time and money only to remove their home from the market without a successful transaction.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estimate over one-half of home sellers are also home buyers. These customers face an additional set of challenges to line up their home purchase with their sale: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Contingencies.</w:t>
      </w:r>
      <w:r>
        <w:rPr>
          <w:color w:val="000000"/>
        </w:rPr>
        <w:t> </w:t>
      </w:r>
      <w:r>
        <w:rPr>
          <w:rFonts w:ascii="Times New Roman;serif" w:hAnsi="Times New Roman;serif"/>
          <w:b w:val="false"/>
          <w:color w:val="000000"/>
          <w:sz w:val="20"/>
        </w:rPr>
        <w:t>Many Americans are reluctant to sell or cannot purchase their next home until they know with certainty what they can afford. Few Americans can qualify for two mortgages and few have enough money for two down payments. These buyers often have to submit offers contingent on selling their current home, putting them at a disadvantage versus other buyers.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“double move.”</w:t>
      </w:r>
      <w:r>
        <w:rPr>
          <w:color w:val="000000"/>
        </w:rPr>
        <w:t> </w:t>
      </w:r>
      <w:r>
        <w:rPr>
          <w:rFonts w:ascii="Times New Roman;serif" w:hAnsi="Times New Roman;serif"/>
          <w:b w:val="false"/>
          <w:color w:val="000000"/>
          <w:sz w:val="20"/>
        </w:rPr>
        <w:t>Alternatively, homeowners can sell their current home, move into a rental or hotel, and then buy a new home, forcing them to move twice and bear those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Our Solution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Opendoor is an end-to-end real estate platform enabling customers to sell and buy a home online. We offer a number of products designed to meet different seller and buyer needs while leveraging a common technology, pricing, and operations platform. By centralizing underwriting, home operations, and closing services, and by applying software, data science, and artificial intelligence to key decision points, we aim to deliver a transaction that is faster, more certain, and more transparent than the traditional process. Today, our primary product offerings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Cash Offer.</w:t>
      </w:r>
      <w:r>
        <w:rPr>
          <w:color w:val="000000"/>
        </w:rPr>
        <w:t> </w:t>
      </w:r>
      <w:r>
        <w:rPr>
          <w:rFonts w:ascii="Times New Roman;serif" w:hAnsi="Times New Roman;serif"/>
          <w:b w:val="false"/>
          <w:color w:val="000000"/>
          <w:sz w:val="20"/>
        </w:rPr>
        <w:t>Launched in 2014, our core product enables homeowners to sell their home directly to Opendoor for cash. We then resell the home to a subsequent home buyer. By selling to Opendoor, homeowners can avoid the stress of open houses, preparing the home for market, overlapping mortgages, and the uncertainty that can come with listing a home on the open market. Using our website or mobile app, sellers can receive an estimated offer online. Eligible sellers may then be prompted to download our mobile application and complete a guided self-assessment of their home. Based on information provided and our internal valuation models, we present an offer. If a seller accepts the offer, a physical inspection is conducted to validate the home’s condition and key attributes. Material discrepancies may result in an adjustment to the offer. Sellers can then select their preferred closing date and, in many cases, close electronically.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customers who sell directly to us, we charge a service fee. Our final purchase price also reflects expected repairs and home quality improvements that relate to our assessment of home condition and the expectations of buyers in the market. Our offering compares favorably to the traditional listing process, which can include a broker fee and a number of additional costs, such as resale concessions, inspection costs, staging costs, mortgage payments on two homes, and additional moving and storage costs. Many of these expenses may be unforeseen by the homeowner at the outset. Our final offer, inclusive of purchase price, service fee, and condition pricing adjustment, is intended to provide the homeowner with more certainty and transparency as to their expected sale proceeds, while removing the hassle of doing repairs and other work to get the home “sale ready.”</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Cash Plus Offer</w:t>
      </w:r>
      <w:r>
        <w:rPr>
          <w:rFonts w:ascii="Times New Roman;serif" w:hAnsi="Times New Roman;serif"/>
          <w:b/>
          <w:color w:val="000000"/>
          <w:sz w:val="20"/>
        </w:rPr>
        <w:t xml:space="preserve">. </w:t>
      </w:r>
      <w:r>
        <w:rPr>
          <w:rFonts w:ascii="Times New Roman;serif" w:hAnsi="Times New Roman;serif"/>
          <w:b w:val="false"/>
          <w:color w:val="000000"/>
          <w:sz w:val="20"/>
        </w:rPr>
        <w:t>Cash Plus is a variant of our core cash offer for existing homeowners who want the convenience and certainty of selling directly to Opendoor while retaining the potential to participate in resale upside. In a Cash Plus transaction, the homeowner sells to Opendoor, and typically receives a large portion of their expected net proceeds upfront. We complete any necessary repairs, list and resell the home, and, after recovering certain costs and our service fee, remit the remaining sale proceeds, if any, to the seller (subject to certain program restrictions). Cash Plus is designed for sellers who value a simple, certain sale and single move, but also want the opportunity to benefit if the home ultimately sells for more on the open market.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these products, we also offer customers integrated title insurance and escrow services through our subsidiaries. Currently, we offer title insurance services in a majority of our markets and on both the acquisition and resale side of the transaction. In the markets where our title services are offered, we provided these services for over 80% of Opendoor home transactions that closed in 2025. Our title and escrow companies charge buyers and/or sellers fees related to settlement and escrow services. Additionally, as agents for national title insurance underwriters, they charge title insurance premiums, which may be based on promulgated rates or rates filed by national title insurance companies. The fees charged by our title and escrow companies vary by market.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primarily by acquiring homes directly from sellers and reselling them to buyers. Unlike traditional real estate brokers who earn commissions by facilitating transactions between third parties, we act as principal, purchasing and taking ownership of homes. This distinction shapes our revenue model, cost structure, and capital requirements.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Revenue Generation</w:t>
      </w:r>
      <w:r>
        <w:rPr>
          <w:rFonts w:ascii="Times New Roman;serif" w:hAnsi="Times New Roman;serif"/>
          <w:b w:val="false"/>
          <w:color w:val="000000"/>
          <w:sz w:val="20"/>
        </w:rPr>
        <w:t>. We earn revenue through:</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Home sales. We acquire homes from sellers at a purchase price that incorporates our expected unit economics and a condition</w:t>
        <w:noBreakHyphen/>
        <w:t xml:space="preserve">based pricing adjustment for expected repairs and improvements. We then resell homes to buyers at market prices.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Service revenue. Our title and escrow subsidiaries provide settlement services for the majority of our transactions. We also earn limited revenue from capital-light products including referrals.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Cost Structure</w:t>
      </w:r>
      <w:r>
        <w:rPr>
          <w:rFonts w:ascii="Times New Roman;serif" w:hAnsi="Times New Roman;serif"/>
          <w:b w:val="false"/>
          <w:color w:val="000000"/>
          <w:sz w:val="20"/>
        </w:rPr>
        <w: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Variable operating expenses tied to transaction volume include home acquisition costs, renovation and repair expenses, holding costs during ownership (property taxes, utilities, insurance, maintenance), financing costs on inventory, and selling costs.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Fixed and semi-fixed operating expenses include technology and development expenses, sales and marketing, general and administrative costs, and corporate overhead, which do not vary proportionally with transaction volume.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Our gross profit on a home sale reflects the difference between our resale price, net of buyer concessions, and our cost of revenue, which includes the property purchase price, acquisition costs, direct costs to renovate or repair the home and inventory valuation adjustments, if any. Contribution Profit on a home sale is similar to gross profit, but excludes valuation adjustments, if any, and includes holding costs and selling costs. Contribution Profit (Loss) is a non-GAAP financial measure. See “</w:t>
      </w:r>
      <w:r>
        <w:rPr>
          <w:rFonts w:ascii="Times New Roman;serif" w:hAnsi="Times New Roman;serif"/>
          <w:b w:val="false"/>
          <w:i/>
          <w:color w:val="000000"/>
          <w:sz w:val="20"/>
        </w:rPr>
        <w:t>Part II – Item 7. Management’s Discussion and Analysis of Financial Condition and Results of Operations – Non-GAAP Financial Measures</w:t>
      </w:r>
      <w:r>
        <w:rPr>
          <w:color w:val="000000"/>
        </w:rPr>
        <w:t xml:space="preserve">” </w:t>
      </w:r>
      <w:r>
        <w:rPr>
          <w:rFonts w:ascii="Times New Roman;serif" w:hAnsi="Times New Roman;serif"/>
          <w:b w:val="false"/>
          <w:color w:val="000000"/>
          <w:sz w:val="20"/>
        </w:rPr>
        <w:t xml:space="preserve">for further details and a reconciliation of Contribution Profit (Loss) to its nearest comparable GAAP measure. </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Capital Requirements</w:t>
      </w:r>
      <w:r>
        <w:rPr>
          <w:rFonts w:ascii="Times New Roman;serif" w:hAnsi="Times New Roman;serif"/>
          <w:b w:val="false"/>
          <w:color w:val="000000"/>
          <w:sz w:val="20"/>
        </w:rPr>
        <w:t xml:space="preserve">. We purchase homes and hold them as inventory on our balance sheet until resale. We primarily use non-recourse asset-backed debt to provide financing for our real estate purchases and renovations. See </w:t>
      </w:r>
      <w:r>
        <w:rPr>
          <w:color w:val="000000"/>
        </w:rPr>
        <w:t>“</w:t>
      </w:r>
      <w:r>
        <w:rPr>
          <w:rFonts w:ascii="Times New Roman;serif" w:hAnsi="Times New Roman;serif"/>
          <w:b w:val="false"/>
          <w:i/>
          <w:color w:val="000000"/>
          <w:sz w:val="20"/>
        </w:rPr>
        <w:t>Part II — Item 7. Management’s Discussion and Analysis of Financial Condition and Results of Operations — Liquidity and Capital Resources”</w:t>
      </w:r>
      <w:r>
        <w:rPr>
          <w:color w:val="000000"/>
        </w:rPr>
        <w:t xml:space="preserve"> </w:t>
      </w:r>
      <w:r>
        <w:rPr>
          <w:rFonts w:ascii="Times New Roman;serif" w:hAnsi="Times New Roman;serif"/>
          <w:b w:val="false"/>
          <w:color w:val="000000"/>
          <w:sz w:val="20"/>
        </w:rPr>
        <w:t xml:space="preserve">for further detail.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Offers</w:t>
      </w:r>
    </w:p>
    <w:p>
      <w:pPr>
        <w:pStyle w:val="TextBody"/>
        <w:bidi w:val="0"/>
        <w:spacing w:lineRule="auto" w:line="288" w:before="240" w:after="283"/>
        <w:ind w:left="0" w:right="0" w:firstLine="450"/>
        <w:jc w:val="left"/>
        <w:rPr/>
      </w:pPr>
      <w:r>
        <w:rPr>
          <w:rFonts w:ascii="Times New Roman;serif" w:hAnsi="Times New Roman;serif"/>
          <w:b/>
          <w:color w:val="000000"/>
          <w:sz w:val="20"/>
        </w:rPr>
        <w:t>AI-Powered Pricing at Scale.</w:t>
      </w:r>
      <w:r>
        <w:rPr>
          <w:color w:val="000000"/>
        </w:rPr>
        <w:t xml:space="preserve"> </w:t>
      </w:r>
      <w:r>
        <w:rPr>
          <w:rFonts w:ascii="Times New Roman;serif" w:hAnsi="Times New Roman;serif"/>
          <w:b w:val="false"/>
          <w:color w:val="000000"/>
          <w:sz w:val="20"/>
        </w:rPr>
        <w:t>We generate demand for our products and services primarily through organic awareness, word-of-mouth, targeted paid media spend, and partnership channels such as our relationships with homebuilders, real estate agents, and online real estate portals. Home sellers visit our website or mobile app and answer a few questions about their home’s condition, features, and upgrades. Over 20% of all sellers who listed or sold their homes across our 21 oldest markets have previously entered their home address on Opendoor.com, indicating that roughly one in five sellers in these markets considers Opendoor when assessing their selling options. This high consideration rate reflects strong brand recognition and positions us to capture increasing market share as we continue to improve our product and customer experience. While it will take time for brand awareness in our newer markets to reach the levels of our more established markets, over time we anticipate being top-of-mind for a growing base of those sellers.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eligible homes, customers receive an offer typically within minutes, which can be refreshed at any time through their personalized seller dashboard. As of December 31, 2025, our offers are algorithmically generated using our proprietary AI models with limited human intervention.</w:t>
      </w:r>
    </w:p>
    <w:p>
      <w:pPr>
        <w:pStyle w:val="TextBody"/>
        <w:bidi w:val="0"/>
        <w:spacing w:lineRule="auto" w:line="288" w:before="240" w:after="283"/>
        <w:ind w:left="0" w:right="0" w:firstLine="450"/>
        <w:jc w:val="left"/>
        <w:rPr/>
      </w:pPr>
      <w:r>
        <w:rPr>
          <w:rFonts w:ascii="Times New Roman;serif" w:hAnsi="Times New Roman;serif"/>
          <w:b/>
          <w:color w:val="000000"/>
          <w:sz w:val="20"/>
        </w:rPr>
        <w:t>Data-Driven Home Assessment.</w:t>
      </w:r>
      <w:r>
        <w:rPr>
          <w:color w:val="000000"/>
        </w:rPr>
        <w:t xml:space="preserve"> </w:t>
      </w:r>
      <w:r>
        <w:rPr>
          <w:rFonts w:ascii="Times New Roman;serif" w:hAnsi="Times New Roman;serif"/>
          <w:b w:val="false"/>
          <w:color w:val="000000"/>
          <w:sz w:val="20"/>
        </w:rPr>
        <w:t>To finalize our offer, we may conduct home assessments to verify the home's condition and determine necessary repairs or improvements. Customers can choose to complete self-guided assessments by uploading videos and photos through our app or we offer in-person home assessments. We typically apply a condition pricing adjustment informed by our assessment of the home and the estimated work needed to bring and maintain it in “sale</w:t>
        <w:noBreakHyphen/>
        <w:t>ready” condition consistent with local buyer expectations. We have developed purpose-built software to guide these assessments and collect over 150 unique data points on average regarding a home’s condition and quality. This proprietary data feeds directly back into our pricing algorithms, creating a continuous learning loop that improves accuracy over time. After all the data has been collected and incorporated, each offer is reviewed and finalized by members of our pricing team, combining algorithmic precision with strategic judgment.</w:t>
      </w:r>
    </w:p>
    <w:p>
      <w:pPr>
        <w:pStyle w:val="TextBody"/>
        <w:bidi w:val="0"/>
        <w:spacing w:lineRule="auto" w:line="288" w:before="240" w:after="283"/>
        <w:ind w:left="0" w:right="0" w:firstLine="450"/>
        <w:jc w:val="left"/>
        <w:rPr/>
      </w:pPr>
      <w:r>
        <w:rPr>
          <w:rFonts w:ascii="Times New Roman;serif" w:hAnsi="Times New Roman;serif"/>
          <w:b/>
          <w:color w:val="000000"/>
          <w:sz w:val="20"/>
        </w:rPr>
        <w:t xml:space="preserve">Offer Conversion. </w:t>
      </w:r>
      <w:r>
        <w:rPr>
          <w:rFonts w:ascii="Times New Roman;serif" w:hAnsi="Times New Roman;serif"/>
          <w:b w:val="false"/>
          <w:color w:val="000000"/>
          <w:sz w:val="20"/>
        </w:rPr>
        <w:t xml:space="preserve">We closely track our “true seller” conversion rate, meaning the percentage of unique leads who either accept an Opendoor offer or list their home on the MLS within 60 days of receiving our offer. We believe this is an important measure of the strength of our value proposition.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Home acquisition and repairs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Once a seller accepts our purchase offer, we enable flexible closing timelines to meet their specific needs. This flexibility is particularly valuable for the majority of sellers who are also buyers, allowing them to coordinate both transactions and avoid double moves or carrying two mortgages simultaneously, a significant advantage over traditional sales where timing is controlled by multiple parties and uncertain closing dates. Prior to closing, we conduct a structured inspection of major systems to finalize repair scopes and condition-based pricing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acquisition, we conduct repairs and home quality improvements to ensure each property is in "sale ready" condition for resale. We engage third-party contractors within each market and leverage proprietary data from thousands of transactions to continuously optimize our repair strategies and cost estimates. Our AI-powered systems analyze neighborhood-level resale outcomes and repair performance data to improve accuracy and efficiency over time, enabling us to manage renovation scope and budget effectively at scale.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Home resale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After preparing homes for market, we leverage multiple distribution channels to generate buyer demand, including the Opendoor website and mobile app, local MLS, syndication across real estate portals, and property signage.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the principal in the transaction rather than an intermediary, we operate from a structurally advantageous position. Our proprietary AI-powered pricing engine enables data-driven decisions across a large, diversified portfolio of homes, incorporating granular demand signals to optimize pricing and sell-through velocity. We manage inventory performance by listing cohort and by market, with our pricing models designed to achieve target margins while maintaining appropriate transaction velocity and portfolio health. This systematic, technology-driven approach to resale contrasts with traditional agent-led pricing, which relies primarily on individual judgment and limited comparable data.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Efficient inventory turnover, from acquisition through preparation, listing, and resale, is critical to our financial performance, as we bear holding costs (utilities, property taxes, maintenance, and insurance) and financing costs during our ownership period. Our technology platform and operational scale enable us to optimize this cycle systematically.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When we receive an acceptable offer, we enter into a resale contract. Buyers typically conduct inspections, finalize their mortgage application process and take possession of the home upon closing.</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Industry-Leading Pricing Capabilities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Our ability to price homes competitively is fundamental to our business model. </w:t>
      </w:r>
      <w:r>
        <w:rPr>
          <w:rFonts w:ascii="Times New Roman;serif" w:hAnsi="Times New Roman;serif"/>
          <w:b w:val="false"/>
          <w:color w:val="000000"/>
          <w:sz w:val="20"/>
          <w:shd w:fill="FFFFFF" w:val="clear"/>
        </w:rPr>
        <w:t>Since inception, we have prioritized investment in proprietary data collection, machine learning models, and systematic pricing operations that enable us to deliver competitive offers to customers while managing acquisition volumes and resale policy decisions to meet our margin and risk management objectives.</w:t>
      </w:r>
    </w:p>
    <w:p>
      <w:pPr>
        <w:pStyle w:val="TextBody"/>
        <w:bidi w:val="0"/>
        <w:spacing w:lineRule="auto" w:line="288" w:before="240" w:after="283"/>
        <w:ind w:left="0" w:right="0" w:firstLine="450"/>
        <w:jc w:val="left"/>
        <w:rPr/>
      </w:pPr>
      <w:r>
        <w:rPr>
          <w:rFonts w:ascii="Times New Roman;serif" w:hAnsi="Times New Roman;serif"/>
          <w:b w:val="false"/>
          <w:color w:val="000000"/>
          <w:sz w:val="20"/>
          <w:shd w:fill="FFFFFF" w:val="clear"/>
        </w:rPr>
        <w:t xml:space="preserve">To create our final home offers, we algorithmically produce both an estimated valuation and an assessment of our confidence level in that estimate, and we </w:t>
      </w:r>
      <w:r>
        <w:rPr>
          <w:rFonts w:ascii="Times New Roman;serif" w:hAnsi="Times New Roman;serif"/>
          <w:b w:val="false"/>
          <w:color w:val="000000"/>
          <w:sz w:val="20"/>
        </w:rPr>
        <w:t xml:space="preserve">then may further validate that estimate with a combination of virtual and in person assessments of the home, as well as additional review from our in-house pricing analysts, to finalize the offer. We dynamically adjust our offers to account for the level of certainty in pricing each home. This degree of certainty can be impacted by factors such as macro conditions, local market dynamics, the condition or attributes of a home, and the depth of home comparables. We recalibrate our view of pricing and where market values are trending using high-frequency detailed metrics across all aspects of our business, including inputs related to the dynamics of market demand and supply across markets, home types, and time periods. These factors are reflected in our spreads, which we define as total discount to our home valuation at the time of offer, less our 5% service fee.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real estate industry generates a wealth of publicly sourceable data, much of this data lacks the quality and specificity essential to price individual homes. Since our inception, we have invested in our research and data science teams, modeling capabilities, and systematized tooling to gather, aggregate, correct, and synthesize an expanding catalog of proprietary, hyper-local data in order to enhance and automate pricing decisions. We have also acquired third-party data to improve our pricing models and forecast quality. Our proprietary models are informed by millions of data points that have been collected and synthesized in a structured way.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Proprietary offline data.</w:t>
      </w:r>
      <w:r>
        <w:rPr>
          <w:color w:val="000000"/>
        </w:rPr>
        <w:t> </w:t>
      </w:r>
      <w:r>
        <w:rPr>
          <w:rFonts w:ascii="Times New Roman;serif" w:hAnsi="Times New Roman;serif"/>
          <w:b w:val="false"/>
          <w:color w:val="000000"/>
          <w:sz w:val="20"/>
        </w:rPr>
        <w:t>We have conducted roughly one million assessments during which we collect over 150 data points on average for each home and its surroundings using custom inspection and operator tooling to systematically source and translate home features into a robust data library. These proprietary data points allow us to make annotations and adjustments to MLS and tax assessor data, as well as build out unique geospatial data assets, such as power line and busy road proximity. We also use AI to extract and automatically categorize data on the condition of homes from customer-provided inputs, such as chat conversations, images, and videos. Once we list a home for resale, we collect additional home-level demand data such as home visits and visitor feedback, which enable us to calibrate our resale strategy and acquisition home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Responsive feedback loop.</w:t>
      </w:r>
      <w:r>
        <w:rPr>
          <w:color w:val="000000"/>
        </w:rPr>
        <w:t> </w:t>
      </w:r>
      <w:r>
        <w:rPr>
          <w:rFonts w:ascii="Times New Roman;serif" w:hAnsi="Times New Roman;serif"/>
          <w:b w:val="false"/>
          <w:color w:val="000000"/>
          <w:sz w:val="20"/>
        </w:rPr>
        <w:t>Advancements in model sophistication and the integration of systematic modeling and human insights have accelerated our feedback loops, such that our pricing system can dynamically adjust and react to macro- and micro-economic conditions.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Pricing competitiveness.</w:t>
      </w:r>
      <w:r>
        <w:rPr>
          <w:color w:val="000000"/>
        </w:rPr>
        <w:t> </w:t>
      </w:r>
      <w:r>
        <w:rPr>
          <w:rFonts w:ascii="Times New Roman;serif" w:hAnsi="Times New Roman;serif"/>
          <w:b w:val="false"/>
          <w:color w:val="000000"/>
          <w:sz w:val="20"/>
        </w:rPr>
        <w:t>Our unique data works in concert with our pricing algorithms. These algorithms use machine learning to drive pricing decisions through modeling of observed home sale prices, demand forecasting, outlier detection, risk assessment, and inventory management. Over time, we have added new data inputs and refined model logic, the benefits of which compound with experience and scale. In addition, our in-house pricing analysts review many of our homes to validate algorithmic outputs and incorporate local market expertise, generating feedback that continuously improves our models.</w:t>
      </w:r>
    </w:p>
    <w:p>
      <w:pPr>
        <w:pStyle w:val="TextBody"/>
        <w:bidi w:val="0"/>
        <w:spacing w:lineRule="auto" w:line="288" w:before="240" w:after="283"/>
        <w:ind w:left="0" w:right="0" w:firstLine="450"/>
        <w:jc w:val="center"/>
        <w:rPr>
          <w:rFonts w:ascii="Times New Roman;serif" w:hAnsi="Times New Roman;serif"/>
          <w:b/>
          <w:color w:val="000000"/>
          <w:sz w:val="20"/>
        </w:rPr>
      </w:pPr>
      <w:r>
        <w:rPr>
          <w:rFonts w:ascii="Times New Roman;serif" w:hAnsi="Times New Roman;serif"/>
          <w:b/>
          <w:color w:val="000000"/>
          <w:sz w:val="20"/>
        </w:rPr>
        <w:t>Robust Risk Management Framework</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Forecasting and managing our business to seasonal and macro market changes is important for our overall results and balance sheet health. As noted above, since our inception, we have prioritized investment in our pricing capabilities across our home acquisition processes and our forecasting and resale systems, and we expect to continue to do so. These investments pair with a strong risk management focus that is embedded in our pricing, finance and operations teams. </w:t>
      </w:r>
      <w:r>
        <w:rPr>
          <w:rFonts w:ascii="Times New Roman;serif" w:hAnsi="Times New Roman;serif"/>
          <w:b w:val="false"/>
          <w:color w:val="000000"/>
          <w:sz w:val="20"/>
          <w:shd w:fill="FFFFFF" w:val="clear"/>
        </w:rPr>
        <w:t>We evaluate the quality of our pricing models and processes using high-frequency detailed metrics across all segments of our business, including home acquisition, resale strategy and inventory health</w:t>
      </w:r>
      <w:r>
        <w:rPr>
          <w:rFonts w:ascii="Times New Roman;serif" w:hAnsi="Times New Roman;serif"/>
          <w:b w:val="false"/>
          <w:color w:val="000000"/>
          <w:sz w:val="20"/>
        </w:rPr>
        <w:t>. All of our pricing decisions are managed centrally, giving us a high degree of control over our overall growth and margin objectives. While residential real estate markets are subject to fluctuations, as with any market, we believe we are well-positioned to manage our risk exposure due to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critical component of our business model is managing inventory exposure and balancing growth, margin, risk, liquidity, and capital. Transaction velocity and hold times are important inputs into how we manage our inventory exposure and overall risk. We have historically concentrated our home purchases on those segments of the residential real estate market with the highest transaction volumes, which helps lower the risk of involuntarily holding a home for longer than anticipated.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pricing models and inventory management systems are designed to recalibrate to market signals on a daily basis. In addition, we employ sophisticated resale pricing management systems that are designed to allow us to optimize sell-through and margin using real-time, local market demand information, including down to an individual home level. We believe that the quality and scale of information we utilize in our inventory management decisions and our ability to manage these decisions across a scaled, diversified portfolio provides us with a structural advantage over individual sellers or agents in the traditional home selling process.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nationwide operations across a range of price points and home types allow us to benefit from significant diversification effects. Individual buyers and sellers are exposed to price and behavioral effects that are associated with specific markets or home segments. Our scale and diverse coverage allow us to mitigate such exposures across a wider range of markets and home segments so that our overall risk per home should decrease as we increase the breadth of markets, price points and home types across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listed homes are not occupied and are in sale-ready condition given the repairs and renovations we perform. We believe that this increases the liquidity of our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At any moment in time, a portion of our inventory is under resale contract; this means we have already found buyers for those homes and are in the process of closing the resale transactions. This further limits the exposure of our inventory portfolio to macro market changes.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Efficient Digital Platform</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continue to invest in a technology platform that underpins how we price homes, make offers, and run our operations. The platform combines proprietary data, software, and AI-driven tools to give sellers a simple, primarily digital experience while allowing us to respond quickly to changing market conditions. Our AI models and computer-vision tools help us assess home condition, and estimate the cost and time required to bring a home to “sale-ready” condition. By centralizing these workflows and using AI and automation to handle many of the steps required to price, purchase, prepare, and resell a home, we are replacing traditionally manual and fragmented processes with standardized, repeatable systems that are designed to operate at scale.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AI</w:t>
        <w:noBreakHyphen/>
        <w:t xml:space="preserve">Powered Operations and Centralization. </w:t>
      </w:r>
      <w:r>
        <w:rPr>
          <w:rFonts w:ascii="Times New Roman;serif" w:hAnsi="Times New Roman;serif"/>
          <w:b w:val="false"/>
          <w:color w:val="000000"/>
          <w:sz w:val="20"/>
        </w:rPr>
        <w:t>Our proprietary operations technology, powered by AI and machine learning, drives efficiencies across home servicing functions, tying together pre</w:t>
        <w:noBreakHyphen/>
        <w:t>acquisition assessments, pricing, repair scoping, centralized back</w:t>
        <w:noBreakHyphen/>
        <w:t>office operations, renovation project management, and listed home maintenance. Our systems increasingly automate tasks that have historically required local, manual work, with centralized teams supervising exceptions and judgment</w:t>
        <w:noBreakHyphen/>
        <w:t>driven decisions. This approach delivers cost efficiencies, quality improvements, and faster turnaround times. Critically, this centralized, AI</w:t>
        <w:noBreakHyphen/>
        <w:t>enabled model underpins our expanded buybox initiative, allowing us to scale coverage across the contiguous United States without proportional increases in local market infrastructure.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One example is our virtual home assessment capability, where home sellers or their agents conduct guided virtual tours using our tools. Our systems apply computer vision and other AI models to extract home condition and feature data from the tour, and to compare the subject property to nearby recently sold homes. By combining these models with proprietary technology, industry best practices, and extensive data sets, we can underwrite many homes with minimal manual intervention and provide sellers with fast, competitive offers from centralized teams. </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Scalable Trade Partner Network</w:t>
      </w:r>
      <w:r>
        <w:rPr>
          <w:rFonts w:ascii="Times New Roman;serif" w:hAnsi="Times New Roman;serif"/>
          <w:b w:val="false"/>
          <w:color w:val="000000"/>
          <w:sz w:val="20"/>
        </w:rPr>
        <w:t>. We have established a network of over 450 trade partners and local service providers who utilize our proprietary technology to complete inspections, home repairs and maintenance. By integrating our technology platform directly with trade partners, we reduce delays, eliminate waste, and improve repair quality while capturing data at every step to continuously improve the system. This scalable third-party capacity model gives us flexibility to adapt to volume fluctuations and adjust operating expenses dynamically. Due to our scale, we have secured volume discounts on materials used in home repairs, creating further cost advantages.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Proactive Inventory Management.</w:t>
      </w:r>
      <w:r>
        <w:rPr>
          <w:color w:val="000000"/>
        </w:rPr>
        <w:t xml:space="preserve"> </w:t>
      </w:r>
      <w:r>
        <w:rPr>
          <w:rFonts w:ascii="Times New Roman;serif" w:hAnsi="Times New Roman;serif"/>
          <w:b w:val="false"/>
          <w:color w:val="000000"/>
          <w:sz w:val="20"/>
        </w:rPr>
        <w:t>Our home inventory management systems and access technology ensure properties remain clean, well-maintained, and safe, enabling our on-demand self-tour experience for buyers. We receive timely home condition updates from our trade partners and service providers who visit properties multiple times per month, as well as from home shoppers and agents who provide feedback through our mobile application after tours. This continuous feedback loop enables rapid response to potential issues, ensuring listed inventory remains in optimal condition to maximize resale probability and transaction velocity.</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Strategic Growth Priorities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growth strategy is to innovate and execute on the following key strategic priorities: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 xml:space="preserve">Increase penetration across our nationwide footprint. </w:t>
      </w:r>
      <w:r>
        <w:rPr>
          <w:rFonts w:ascii="Times New Roman;serif" w:hAnsi="Times New Roman;serif"/>
          <w:b w:val="false"/>
          <w:color w:val="000000"/>
          <w:sz w:val="20"/>
        </w:rPr>
        <w:t>With the expansion of our buybox in late 2025, from a limited set of geographies to effectively nationwide coverage across the contiguous United States, we now have the ability to make offers in substantially all residential zip codes. We are focused on growing market share across this expanded footprint, as we believe greater scale improves awareness, trust and adoption, operational cost efficiencies, and pricing competitiveness and provides more data. We have historically demonstrated our ability to capture over 4% market share in multiple markets, with our oldest market cohorts showing deeper penetration over time. Our nationwide expansion enables us to serve customers wherever they are located, while we continue to drive deeper penetration in our core markets through partnerships and marketing campaigns that increase awareness and engage customers early in their home selling and buying research.</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Expand product offerings.</w:t>
      </w:r>
      <w:r>
        <w:rPr>
          <w:color w:val="000000"/>
        </w:rPr>
        <w:t> </w:t>
      </w:r>
      <w:r>
        <w:rPr>
          <w:rFonts w:ascii="Times New Roman;serif" w:hAnsi="Times New Roman;serif"/>
          <w:b w:val="false"/>
          <w:color w:val="000000"/>
          <w:sz w:val="20"/>
        </w:rPr>
        <w:t xml:space="preserve">Our north star is to build the best end-to-end digital experience for every home seller and buyer. We are focused on continuing to refine our best-in-class seller experience, expand integrated services that capture additional transaction value, invest in enhancing the buyer experience, and create a seamless, vertically-integrated platform. We continually evaluate opportunities for additional products and ancillary services that strengthen our competitive moat and improve customer experience. For example, in February 2026, we became licensed to provide mortgage products and plan to expand these offerings.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Marketing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a diversified, multichannel approach in marketing, with a focus on efficient growth. Our marketing engine is powered by proprietary data, analytics, and AI that enable us to measure performance across channels, optimize spend allocation, and continuously improve customer acquisition efficiency. In addition to earned media and online real estate partnerships with leading industry brands, we leverage a diverse range of channels and platforms within paid advertising, including paid online channels, direct mail, television, radio, social media, and outdoor advertising. Our marketing efforts are amplified by a flywheel: our consistently high Net Promoter Scores generate word-of-mouth referrals, and our listed properties serve as physical touchpoints that drive neighborhood awareness and organic demand. We also continue to build our prospective customer base by maintaining relationships and re-engaging with homeowners who might not have been ready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 during their first interaction with Opendoor. With the majority of sellers also being buyers, these homeowners represent a large part of our customer base that we are focused on converting when they are ready to transact. As more consumers start their home journey with Opendoor, we expect this prospective customer base to continue to expand over time.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U.S. housing market is highly fragmented, with over four million residential real estate transactions per year. We view our primary competition as the approximately 99% of transactions that remain offline. As such, we compete directly with traditional, offline real estate brokers and agents. In addition, we also compete with other iBuyers, and our adjacent services compete with industry service providers, including title and escrow companies and mortgage originators. We believe our singular focus on an end-to-end digital solution, our best-in-class pricing engine, and our low-cost operational platform differentiate us from our competitors and provide a meaningful and sustainable competitive advantage.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employed 1,042 individuals, including 858 in the United States. None of our employees are currently represented by a labor organization or are party to any collective bargaining.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driven by proprietary systems that integrate AI models, data, and software across the entire home transaction lifecycle. We have assembled a team of engineers, machine learning specialists, research scientists, data scientists, designers, and product managers whose expertise spans a broad range of technical areas. Our technology portfolio includes: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Pricing systems that use centralized data infrastructure and machine learning models to appraise and price the homes we buy and sell, incorporating factors such as time of possession, seasonality, macroeconomic and local market conditions, expected renovation and holding costs, transaction costs, and anticipated resale proceeds.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Home assessment and inspection tools that guide pre</w:t>
        <w:noBreakHyphen/>
        <w:t>acquisition and post</w:t>
        <w:noBreakHyphen/>
        <w:t>acquisition workflows, standardize data collection on home condition and quality, and feed this information back into our AI-powered pricing and forecasting models.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Construction and renovation management software that centralizes repair scoping, project management, work order routing, and coordination with our network of trade partners and local service providers, with the goal of improving cost, quality, and cycle times.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Inventory and portfolio management systems that monitor sell</w:t>
        <w:noBreakHyphen/>
        <w:t>through, holding periods, and unit economics at the home, cohort, and market level, and support data</w:t>
        <w:noBreakHyphen/>
        <w:t>driven decisions about acquisition volumes, resale strategy, and pricing.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Consumer</w:t>
        <w:noBreakHyphen/>
        <w:t>facing web and mobile applications that enable sellers to request offers, select closing dates, upload home information, and complete many aspects of the sale digitally, and enable buyers to discover, self</w:t>
        <w:noBreakHyphen/>
        <w:t>tour, and purchase homes online.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currently use third-party cloud computing services to allow us to quickly and efficiently scale up our services without upfront infrastructure costs, allowing us to maintain our focus on building great products. We also use third-party services to allow customers to digitally sign contracts, upload videos of their home and manage customer support services.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trademarks, domain names, patents, copyrights, trade secrets, contractual provisions and restrictions on access and use to establish and protect our proprietary rights. As of December 31, 2025, we had 11 trademark registrations and 13 patent registrations.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the registered holder of a variety of domestic domain names, including “opendoor.com.”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protection provided by our intellectual property rights, we enter into confidentiality and proprietary rights agreements with certain of our employees, consultants, contractors and business partners. Certain of our employees and contractors are also subject to invention assignment agreements. We further control the use of our proprietary technology and intellectual property through provisions in both our general and product-specific terms of use on our website.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mobile and internet based businesses and other businesses that rely on advertising, as well as data privacy, consumer protection, and employment laws.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In particular, the advertising and sale of homes is highly regulated by states in which we do business, as well as the U.S. federal government. Regulatory bodies include the Consumer Financial Protection Bureau (“CFPB”), the Federal Trade Commission (“FTC”), the Department of Justice (“DOJ”), the Department of Housing and Urban Development (“HUD”), and various state licensing authorities, consumer protection agencies, financial regulatory agencies and insurance agencies. We are subject to compliance audits of our operations by many of these authorities. For further discussion of the various risks we face from existing and potential regulation and compliance matters, see </w:t>
      </w:r>
      <w:r>
        <w:rPr>
          <w:color w:val="000000"/>
        </w:rPr>
        <w:t>“</w:t>
      </w:r>
      <w:r>
        <w:rPr>
          <w:rFonts w:ascii="Times New Roman;serif" w:hAnsi="Times New Roman;serif"/>
          <w:b w:val="false"/>
          <w:i/>
          <w:color w:val="000000"/>
          <w:sz w:val="20"/>
        </w:rPr>
        <w:t>Part I – Item 1A. Risk Factors — Risks Related to Regulatory Compliance and Legal Matters</w:t>
      </w:r>
      <w:r>
        <w:rPr>
          <w:rFonts w:ascii="Times New Roman;serif" w:hAnsi="Times New Roman;serif"/>
          <w:b w:val="false"/>
          <w:color w:val="000000"/>
          <w:sz w:val="20"/>
        </w:rPr>
        <w:t>.</w:t>
      </w:r>
      <w:r>
        <w:rPr>
          <w:color w:val="000000"/>
        </w:rPr>
        <w: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Additionally, laws, regulations, and standards covering marketing and advertising activities conducted by telephone, email, mobile devices, and the internet, as well as laws governing data privacy, security, and the processing of personal information, may be applicable to our business, such as the Telephone Consumer Protection Act (“TCPA”), the Telemarketing Sales Rule, the Controlling the Assault of Non-Solicited Pornography and Marketing Act of 2003 (the “CAN-SPAM Act”), the the California Consumer Privacy Act, as amended by California Privacy Rights Act (the “CCPA”), and similar state consumer protection laws. Through our various subsidiaries, we also buy and sell homes, provide real estate brokerage, title insurance and settlement services, operate a mortgage business, and provide other product offerings, which results in us receiving or facilitating transmission of personal information. This information is increasingly subject to legislation and regulation in the United States. These laws and regulations are generally intended to protect the privacy and security of personal information, including customer Social Security numbers and credit card information that is collected, processed and transmitted. These laws also can restrict our use of this personal information for other commercial purposes, including advertising. For a discussion of the various risks we face with respect to the collection and processing of personal information, see </w:t>
      </w:r>
      <w:r>
        <w:rPr>
          <w:color w:val="000000"/>
        </w:rPr>
        <w:t>“</w:t>
      </w:r>
      <w:r>
        <w:rPr>
          <w:rFonts w:ascii="Times New Roman;serif" w:hAnsi="Times New Roman;serif"/>
          <w:b w:val="false"/>
          <w:i/>
          <w:color w:val="000000"/>
          <w:sz w:val="20"/>
        </w:rPr>
        <w:t>Part I – Item 1A. Risk Factors — Risks Related to Our Intellectual Property and Technology</w:t>
      </w:r>
      <w:r>
        <w:rPr>
          <w:rFonts w:ascii="Times New Roman;serif" w:hAnsi="Times New Roman;serif"/>
          <w:b w:val="false"/>
          <w:color w:val="000000"/>
          <w:sz w:val="20"/>
        </w:rPr>
        <w:t>.</w:t>
      </w:r>
      <w:r>
        <w:rPr>
          <w:color w:val="000000"/>
        </w:rPr>
        <w: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To provide the broad range of products and services that we offer customers, certain of our subsidiaries maintain real estate brokerage, title insurance and escrow, mortgage and general contractor licenses, and we may in the future apply for additional licenses as our business grows and develops. These entities are subject to stringent state and federal laws and regulations, including, but not limited to, the Real Estate Settlement Procedures Act (“RESPA”) and those administered by applicable state departments of real estate, banking, and consumer services. These entities are also subject to the scrutiny of state and federal government agencies as licensed businesses as noted above. As of December 31, 2025:</w:t>
      </w:r>
      <w:r>
        <w:rPr>
          <w:color w:val="EE2724"/>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Opendoor Brokerage LLC and Opendoor Brokerage Inc., collectively, hold real estate brokerage licenses in 44 states and the District of Columbia.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OS National LLC, and its subsidiaries, OSN Texas LLC, OS National Alabama LLC, and OSN Title Company are licensed as title agents in 28 states. In addition, OS National LLC, and its subsidiary, OSN Escrow Inc., are licensed as escrow agents in six states and OS National LLC is authorized to conduct the business of title insurance in five additional states that do not require entity and/or individual licensing.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Tremont Realty LLC (dba Opendoor Connect), holds real estate brokerage licenses in Texas and North Carolina.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as of February 13, 2026, our wholly-owned mortgage subsidiary holds a mortgage license in Colorado.</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certain licenses, we are required to designate individual licensed brokers of record, qualified individuals and control persons.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Mortgage products are regulated at the state level by licensing authorities and administrative agencies, with additional oversight from the CFPB and other federal agencies. These laws generally regulate the manner in which lending and lending-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related activities, including mortgage brokering, are marketed or made available to consumers, including, but not limited to, advertising, finding and qualifying applicants, the provision of consumer disclosures, payments for services, and record keeping requirements; these laws include, at the federal level, RESPA, the Fair Credit Reporting Act (as amended by the Fair and Accurate Credit Transactions Act), the Truth in Lending Act (including the Home Ownership and Equity Protection Act of 1994), the Equal Credit Opportunity Act, the Fair Housing Act, the Gramm-Leach-Bliley Act,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TCPA, the Mortgage Acts and Practices Advertising Rule (Regulation N), the CARES Act, all implementing regulations, and various other federal, state and local laws. The CFPB also has broad authority to enforce prohibitions on practices that it deems to be unfair, deceptive or abusive. Additionally, state and local laws may restrict the amount and nature of interest and fees that may be charged by a lender or mortgage broker, impose more stringent privacy requirements and protections for servicemembers, and/or otherwise regulate the manner in which lenders or mortgage brokers operate or advertise.</w:t>
      </w:r>
    </w:p>
    <w:p>
      <w:pPr>
        <w:pStyle w:val="TextBody"/>
        <w:bidi w:val="0"/>
        <w:spacing w:lineRule="auto" w:line="288" w:before="240" w:after="283"/>
        <w:ind w:left="0" w:right="0" w:firstLine="450"/>
        <w:jc w:val="center"/>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450"/>
        <w:jc w:val="left"/>
        <w:rPr/>
      </w:pPr>
      <w:r>
        <w:rPr>
          <w:rFonts w:ascii="Times New Roman;serif" w:hAnsi="Times New Roman;serif"/>
          <w:b w:val="false"/>
          <w:color w:val="000000"/>
          <w:sz w:val="20"/>
        </w:rPr>
        <w:t>For information regarding the seasonality of our business, please see “</w:t>
      </w:r>
      <w:r>
        <w:rPr>
          <w:rFonts w:ascii="Times New Roman;serif" w:hAnsi="Times New Roman;serif"/>
          <w:b w:val="false"/>
          <w:i/>
          <w:color w:val="000000"/>
          <w:sz w:val="20"/>
        </w:rPr>
        <w:t>Part II – Item 7. Management’s Discussion and Analysis of Financial Condition and Results of Operations – Factors Affecting our Business Performance.”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Corporate History and Background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Opendoor Technologies Inc.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(the “Closing”), and was accounted for as a reverse recapitalization, in accordance with accounting principles generally accepted in the United States of America (“GAAP”).</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website is www.opendoor.com. At our Investor Relations website, investor.opendoor.com, we make available, free of charge, a variety of information for investors, including our annual reports on Form 10-K, quarterly reports on Form 10-Q, current reports on Form 8-K and any amendments to those reports, proxy statements, and other information, as soon as reasonably practicable after we electronically file that material with, or furnish it to, the Securities and Exchange Commission (“SEC”). We also use the Investor Relations page of our website for purposes of compliance with Regulation FD and as a routine channel for distribution of important information, including blogs, news releases, analyst presentations, financial information and corporate governance practices. The information found on our website is not part of this or any other report we file with, or furnish to, the SEC. Our SEC filings are also available to the public at the SEC's website at http://www.sec.gov.</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investors and others should note that we have used, and intend to continue to use, our website, press releases, Securities and Exchange Commission (“SEC”) filings, blogs, community hub and social media accounts, as well as the X (formerly known as Twitter) accounts of our Chief Executive Officer, @Nejatian, and @Opendoor, as means of disclosing material non-public information and for complying with our disclosure obligations under Regulation FD. We encourage investors and others to review the information we make public in the foregoing locations as such information could be deemed to be material information. Please note that this list may be updated from time to time. Investors should subscribe to these social media accounts and our investor alerts, in addition to following our press releases, SEC filings,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In the course of conducting our business operations, we are exposed to a variety of risks. You should carefully consider the risks described below, as well as the other information in this Annual Report on Form 10-K, including our financial statements and related notes and “Item 7. Management’s Discussion and Analysis of Financial Condition and Results of Operations,” before deciding whether to invest in our common stock. Any of the risk factors we describe below have affected or could materially and adversely affect our business, financial condition, results of operations and prospects. The market price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shares of our common stock could decline, possibly significantly or permanently, if one or more of these risks and uncertainties occurs. Certain statements in “Risk Factors” are forward-looking statements. See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and operating results have been and may in the future be significantly impacted by general economic conditions, the health of the U.S. residential real estate industry, and risks associated with our real estate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depends, directly and indirectly, on general economic conditions, the health of the U.S. residential real estate industry, particularly the single-family home resale market, and risks generally incidental to the ownership of residential real estate, many of which are beyond our control. A number of factors have impacted and could in the future negatively impact and harm our business,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seasonal or cyclical downturns in the U.S. residential real estate market that may be due to one or more factors, whether included in this list or not;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national, regional, or local economic, demographic or real estate market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mortgage interest rates, such as the recent significant increases in interest rates in 2022 and 2023, or down payment requirements and/or restrictions on mortgage financing availability;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low home inventory levels, which may result from zoning regulations, higher construction costs, and housing market uncertainty that discourages some potential home sellers, among other factors, or lack of affordably priced homes, which may result from home prices growing faster than wages, among other factors;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high rental occupancy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labor or materials supply shortages;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slow economic growth or inflationary or recessionary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trade policies of the U.S. or other countries, such as tariffs or retaliatory tariffs, which may contribute to inflationary conditions and increase the cost of materials for home repairs;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new and changing laws, regulations, executive orders, and enforcement priorities;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levels of unemployment or declining wages;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declines in the value of residential real estate and/or the pace of home appreciation, or the lack thereof;</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illiquidity in residential real estate;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overall conditions in the housing market, including macroeconomic shifts in supply or demand, and increases in costs for homeowners, such as property taxes, homeowners’ association fees and the availability and/or affordability of insurance, including as a result of more frequent and severe natural disasters or severe weather due to climate change;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low levels of consumer confidence in the economy and/or the U.S. residential real estate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consumer hesitancy to spend or take on debt due to economic uncertainty;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future impacts of pandemics or epidemics on buying and selling trends in the residential real estate market;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household debt levels;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geopolitical tensions;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volatility and general declines in the stock market;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in confidence in the debt, obligations, or operations in the U.S. government, or a shutdown of the U.S. government, which could impact broader credit markets or economic activity;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federal, state, or local legislative or regulatory changes that would negatively impact owners or potential purchasers of single-family homes or the residential real estate industry in general, such as the recently enacted One Big Beautiful Bill Act (“OBBBA”), which made permanent the limitation on deductions of certain mortgage interest expenses;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natural and man-made disasters and other catastrophic events, such as hurricanes, windstorms, tornadoes, earthquakes, wildfires, floods, hailstorms, terrorist attacks and other events that disrupt local, regional, or national real estate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 history of losses, and we may not achieve or maintain profitability in the future.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on an annual basis since we were founded. We incurred net losses of $1.3 billion, $392 million, and $275 million for the years ended December 31, 2025, 2024, and 2023, respectively. We had an accumulated deficit of $5.0 billion and $3.7 billion as of December 31, 2025 and 2024, respectively. In the longer term, we expect to make future investments in developing and expanding our business, including technology, recruitment and training, marketing and pursuing strategic opportunities. These investments may not result in increased revenue or growth in our business. Additionally, we may incur significant losses in the future for a number of reasons,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failure to appropriately price and manage the home inventory we acquire;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our fee structure or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debt financing and securitization funding to finance our real estate inventories;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inability to grow market share, including those in which we have less operating history;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incur greater losses as a result of our recent expansion into all contiguous 48 states, where we have less operating history and market penetration;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competition in the U.S. residential real estate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failure to realize anticipated efficiencies through our leveraging of AI, technology, business model and cost management strategies;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associated with enhancements of our products and introducing new product offerings, including costs to enhance engineering and AI capabilities;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failure to execute our growth strategies, including our failure to successfully improve the customer experience and/or our unit economics by expanding core services and ancillary services, such as mortgage, homeowners’ insurance, and warranty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declines in U.S. residential real estate transaction volumes;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marketing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lack of access to housing market data that is used in our pricing models at reasonable cost, if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hiring additional personnel to support our overall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in value of real estate due to changes in market conditions in the areas in which real estate or assets are located;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increases in costs associated with holding our real estate inventories, including financing costs;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unforeseen expenses, difficulties, complications and delays, and other unknown factors.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may not be able to achieve or maintain profitability and we may continue to incur significant losses in the future. Moreover, as we invest in our business in the future, we will incur expenses related to those investments, which may not result in increased revenue or growth in our business. If we fail to manage our losses or to grow our revenue sufficiently to keep pace with our investments and other expenses, our business will be harmed. In addition, we incur significant legal, accounting and other expenses related to being a public company.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we incur substantial costs and expenses from our growth efforts before we receive any incremental revenues with respect thereto, we may find that these efforts are more expensive than we currently anticipate or that these efforts may not result in an increase in revenues to offset these expenses, which would further increase our losses.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current business and future prospects.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model and technology are still nascent compared to the business models of the incumbents in the U.S. residential real estate industry. We launched our first market in 2014 and do not have a long operating history. Our operating results are not predictable and our historical results may not be indicative of our future results. Few peer companies exist and none have yet established long-term track records that might assist us in predicting whether our business model and strategy can be implemented and sustained over an extended period of time. It may be difficult for you to evaluate our potential future performance without the benefit of established long-term track records from companies implementing a similar business model. We may encounter unanticipated problems as we continue to refine our business model and may be forced to make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changes to our anticipated sales and revenue models to compete with our competitors’ offerings, which may adversely affect our results of operations and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operate in a competitive and fragmented industry that could impair our ability to attract users of our products, which could harm our business, results of operations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and fragmented industry, and we expect competition to continue to increase. We believe that our ability to compete depends upon many factors both within and beyond our control,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financial competitiveness of our products for consumers;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of potential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and market acceptance of our products and the iBuying model, including new products offered by us or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selling and marketing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customer service and support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continued ability to develop and improve our technology to support our business model, including our ability to leverage AI to drive operational efficiency and improve the customer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customer adoption of our platform as an alternative to traditional methods of buying and selling residential real estate;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brand strength relative to our competitors.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model depends on our ability to continue to attract customers to our digital platform and the products we offer and to enhance customers’ engagement with our products in a cost-effective manner. New entrants may continue to join our market categories. Our existing and potential competitors include companies that operate, or could develop, national and/or local real estate businesses offering services to home buyers or sellers, including real estate brokerage services, mortgage services, title insurance, and escrow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our competitors may have well-established national reputations and may market similar products and services. These companies may be larger than us and have significant competitive advantages, including better name recognition, greater resources, greater technological capabilities, including a more successful integration of AI features, longer operating histories, more industry experience, lower cost of funds and additional access to capital, and a broader set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Any of our current or future competitors could merge with each other or a separate entity, which may enable them to compete with us even more vigorously and acquire a greater share of real estate transactions. If we are not able to continue to attract customers to our platform and products, our business, results of operations and financial condition could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Failures by our perceived competitors or companies with an iBuying model in other markets may adversely impact Opendoor.</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of the novelty of our business model and our limited track record as a public company, high profile failures of companies operating in similar or adjacent spaces, including companies in our market or companies operating in different markets but utilizing an iBuyer business model, may impact investor perceptions of the digital home buying industry as a whole. Such events may negatively impact our stock price and ability to raise capital regardless of whether those events have any actual relationship with our business and financial or operational performance.</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Our business has experienced periods of significant contraction, and if we are unable to manage these contractions or adequately scale our business then we may be unable to grow in the future. We also may fail to effectively manage our growth.</w:t>
      </w:r>
    </w:p>
    <w:p>
      <w:pPr>
        <w:pStyle w:val="TextBody"/>
        <w:bidi w:val="0"/>
        <w:spacing w:lineRule="auto" w:line="26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we experienced growth historically, our business has experienced periods of significant contraction. For example, our business contracted significantly in the second half of 2022, which continued throughout 2023 and into the first half of 2024. During this period, we focused on selling down our old book inventory, which was composed of homes purchased before July 1, 2022. We also experienced contraction of our business in the second half of 2025, due in part to low inventory levels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 result of reduced acquisition volumes. We may not be able to reverse or manage this or any future contraction and grow our business in the future if we do not,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 to increase the number of customers using our platform, including through leveraging AI to enhance our technology and improve the customer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avoid future inventory valuation adjustments;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acquire sufficient inventory based on our underwriting standards to meet demand for our homes;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our market share within the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manage operating expenses, including by leveraging AI to drive operational efficiency;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our brand awareness;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expand our ancillary services offerings, such as mortgage, homeowners’ insurance, and warranty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retain adequate availability of financing sources;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 necessary capital to meet our business objectives;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expand our third-party vendor networks;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scale our internal operations and customer support teams.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 order to grow our business, we may need to increase market penetration. Expanding our market penetration may prove to be challenging as currently less than 1% of aggregate home value transacted annually is conducted online. Attempting to grow our market share in our less concentrated markets may result in greater pricing uncertainty, as well as higher capital requirements, hold times, repair costs and transaction costs that may result in certain markets being less profitable for us than those in which we have a longer operating history and more concentrated penetration.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business is dependent upon our ability to appropriately price and manage our portfolio of inventory. An ineffective pricing or portfolio management strategy may have a material adverse effect on our business, sales, and results of operations. </w:t>
      </w:r>
    </w:p>
    <w:p>
      <w:pPr>
        <w:pStyle w:val="TextBody"/>
        <w:bidi w:val="0"/>
        <w:spacing w:lineRule="auto" w:line="26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assess and price the homes we buy and sell using data science, proprietary algorithms, AI, and analysis from specially trained employees, incorporating a number of factors, including our knowledge of the real estate markets in which we operate. This assessment includes estimates regarding time of possession, seasonality, macroeconomic and local market conditions, renovation costs and holding costs, transaction costs, and anticipated resale proceeds. Our ability to acquire and resell homes profitably may be negatively impacted if our models lack robust historical data on home sales, material home features, or other market nuances, especially those outside of features and nuances we have previously encountered and modeled in our more concentrated markets, or if our assumptions underlying our models are otherwise not accurate. Moreover, the models underlying our AI technologies may be incorrectly designed or implemented or exhibit defects, such as if the data on which our AI technologies are trained is incomplete, inadequate, inaccurate, biased or otherwise of poor-quality, which could result in ineffective or inaccurate outputs. In addition, while changing market conditions are reflected in our pricing for new acquisitions, our previously-acquired inventory and homes under contract to be acquired may be at risk for potential market volatility. These factors, in turn, could negatively impact our revenue growth if resulting valuations are too low and/or fees are too high, or our profitability, if valuations are too high and/or fees are too low. In addition, inaccuracies in our models could result in us acquiring too many or too few properties to maximize profitability.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Once we have acquired a home, we may decrease our anticipated resale price for reasons such as unknown defects related to home condition requiring remediation, lower/higher than forecasted demand/supply, or other detractors that were unknown or missed at the time of acquisition. Shortages in building supplies, supply chain disruptions, and shortages and disruptions in the availability of third-party labor can also delay our ability to renovate and resell homes in a timely manner. These risks may be heightened in the markets where we have less operating history or penetration, where we may not have similar levels of knowledge and experience as we do in the markets where we have longer operating history or greater penetration. These factors could negatively impact our revenue, gross margins and results of operations, which could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business is dependent upon our ability to expeditiously sell inventory. Failure to expeditiously sell our inventory could have an adverse effect on our business, sales and results of operations.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critical component of our business model is managing inventory exposure and balancing growth, margin, and risk. Our purchases of homes are based in large part on our estimates of projected demand. If actual sales are materially less than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forecasts, we would experience an oversupply of inventory. An oversupply of home inventory will generally cause downward pressure on our sales prices and margins and increase our average days to sale. Our inventory of homes purchased has typically represented a significant portion of total assets. Having such a large portion of our total assets in the form of non-income producing home inventory for an extended period of time subjects us to significant holding costs, including financing expenses, maintenance and upkeep, insurance, property taxes, homeowners’ association fees, and other expenses that accompany the ownership of residential real property and increased risk of depreciation of value. Disruptions in the supply chain for materials, such as paint and carpet, and constraints in the market for labor necessary to restore and resell home inventory could lengthen the period of time during which we must hold home inventory. In addition, certain regulations may impede our ability to expeditiously sell inventory to buyers with mortgage loan restrictions. For example, Federal Housing Administration (“FHA”) insured loans require that the seller has owned the home for at least 90 days prior to closing, which could also lengthen the period of time during which we must hold home inventory.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value of homes in inventory may decline, and we could experience losses as a result, which in the aggregate could be detrimental to our business and results of operations. For example, due in part to macroeconomic factors such as increased interest rates and lower consumer confidence stemming from recession risk, in the second half of 2023 and most of 2024 and 2025, market clearance rates slowed, which resulted in reduced pace of our resales. As a result, we reduced home-level prices to stay in line with our clearance rate targets, which adversely affected our results of operations, and may adversely affect our results of operations in the future. Furthermore, if we have excess inventory or our average days to sale increases, as was the case in the second half of 2022 alongside home price value decreases, the results of our operations may be adversely affected because we may be unable to liquidate such inventory at prices that allow us to meet margin targets or to recover our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realize expected benefits from our restructuring and cost reduction efforts and our business might be adversely affected.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operate more efficiently and control costs, from time to time, we undertake restructuring plans and other cost savings initiatives, which include workforce reductions as well as changes to our business strategy. These plans are intended to generate, among other things, operating expense savings and improved margins. For example, in November 2024, we implemented a reduction in force affecting approximately 17% of our employees, and in July 2024, we deconsolidated our subsidiary, Mainstay Labs Inc., in which we retain less than 50% ownership on a fully diluted basis. In addition, during the third quarter of 2025, we further reduced spend on external software, software vendors, and external consultants.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undertake further restructuring actions or workforce reductions in the future. These types of restructuring and cost reduction activities are complex and may result in unintended consequences and costs, such as unforeseen delays in the implementation of our strategic initiatives, business and operational disruptions, decreased employee morale, loss of institutional knowledge and expertise, and potential impacts on financial reporting. Any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and restructuring activities or any other similar activities that we may undertake in the future, expected efficiencies and benefits might be delayed or not realized, and our business, financial condition, and results of operations may be materially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Declines in real estate values have resulted in, and could continue to result in, inventory valuation adjustments, which have and may continue to adversely affect our financial condition and operating results.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risks inherent in owning properties and inventory risks are substantial for our business. Home prices have been and can be volatile, and the values of our inventory have fluctuated and may continue to fluctuate significantly. As a result of such fluctuations, we have in the past and may in the future incur inventory valuation adjustments. We periodically review the value of our properties to determine whether their value, based on market factors and generally accepted accounting principles, has decreased such that it is necessary or appropriate to record an inventory valuation adjustment in the relevant accounting period. As a result of such review, we recorded an inventory valuation adjustment of $57 million in 2025, of which $19 million related to homes remaining in inventory at December 31, 2025. These adjustments, based upon anticipated, but not realized losses, caused an immediate reduction of net income and a corresponding decrease in real estate inventory in the accounting period identified. Even if we do not determine that it is necessary or appropriate to record an inventory valuation adjustment in the current financial period, a reduction in the estimated net realizable value of a property could subsequently manifest and would therefore affect our earnings and financial condition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Launches of new product or service offerings and expansions of existing products, like our Cash and Cash Plus offerings, may consume significant financial and other resources and may not achieve the desired results.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regularly evaluate launching new product or service offerings to our customers, as well as expanding existing offerings. For example, during the third quarter of 2025, we launched over a dozen new products or features for existing products. Also in late 2025, we began expanding our buybox from a limited set of geographies to effectively nationwide coverage across the contiguous United States, with the ability to make offers in substantially all residential zip codes. In early 2026, we launched a mortgage business in Colorado and plan to expand into additional states. In addition, we aim to increase our value to each homeowner by launching or expanding services such as homeowners’ insurance and warranty services. Such offerings may require significant expenses, new sources of capital and financing, and time of our key personnel. New or expanded product and service offerings may also subject us to new regulatory environments, which could increase our costs as we evaluate compliance with the new regulatory regime. Despite the expenses and time devoted to launching new or expanded product or service offerings, we may fail to achieve the financial and market share goals anticipated, which may adversely affect our business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example, our Cash product is only available in certain of our markets, and our Cash Plus product, while currently available in all zip codes in the contiguous 48 states, has a limited operating history. Additionally, our mortgage services are only available in one market and have a limited operating history. Expanding offerings such as our Cash, Cash Plus, and mortgage products and setting up new offerings comes with substantial upfront costs and we may not achieve profitability in time, if at all, to make up for those costs. Further, there is no guarantee that buyers and sellers will want to transact in a manner contemplated by such offerings, or that we will be able to attract a sufficient number of sellers and buyers. In addition, we may encounter difficulties in building and marketing new offerings, such as obtaining the necessary licensing and staffing, complying with local regulations, building a marketing apparatus for the offering, or standing up other business operations. These difficulties could make our recent expansion to new markets too slow to cover the fixed and upfront costs of setting up new and expanded offerings. Incumbents in the industry may also organize efforts to oppose our innovations and find ways to use existing regulations, or convince authorities to make new regulations that would make our business model unviable. Even if we are successful, it may attract competitors who reduce the size of our market or its economic viability. Those competitors may have strategic advantages that make them better able to provide services or expand those services to our markets faster than we can, and we may be unable to compete in a sustainable way. After our recent market expansion, we may find that local preferences, conditions, or regulations differ in newer markets compared to the markets in which we have a longer operating history such that the benefits of scale do not materialize. In addition, developing and marketing our Cash, Cash Plus, and mortgage products could have higher costs than anticipated and could adversely impact our results or dilute our brand.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model and growth strategy depend on our brand, marketing efforts and ability to attract buyers and sellers to our website and mobile application in a cost-effective manner.</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long-term success depends in part on our ability to continue to attract more buyers and sellers to our platform in each of our markets. We believe that an important component of our growth is the attraction of potential customers to our website and mobile application. Our marketing efforts may not succeed for a variety of reasons, including changes to search engine and social network algorithms, ineffective campaigns across marketing channels, and limited experience in certain marketing channels. We may also be unable to deliver a sufficiently rewarding experience on mobile devices whether through our mobile website or mobile application, which may make us unable to attract and retain customers. External factors beyond our control may also affect the success of our marketing initiatives, such as filtering of our targeted communications by email servers, buyers and sellers failing to respond to our marketing initiatives, and competition from third parties. Any of these factors could reduce the number of customers coming to our platform. We also believe that the brand identity that we have developed is a significant factor in the success of our business, and maintaining and enhancing the Opendoor brand is critical to maintaining and expanding our customer base and current and future partners. Failure to promote or maintain our brand, or incurring excessive costs in this effort, could adversely affect our growth, results of operations,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model relies on our ability to scale and to decrease incremental customer acquisition costs as we grow. If we are unable to recover our marketing costs through increases in customer traffic and in the number of transactions by users of our platform, or if our broad marketing campaigns are not successful or are terminated, it could have a material adverse effect on our growth,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significant portion of our costs and expenses are fixed, and we may not be able to adapt or optimize our cost structure to offset declines in our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expenses are fixed and do not vary proportionately with fluctuations in revenues. We need to maintain and continue to increase our transaction volumes to benefit from operating efficiencies and continue to optimize our cost structure. When we operate at less than expected capacity, fixed costs are inflated and represent a larger percentage of overall cost basis and percentage of revenue. Due to our fixed cost base, our operating results can vary significantly based on transaction volumes in any given period. For example, our fixed costs have not decreased proportionately to our decreasing revenue, beginning in the second quarter of 2022. This contributed to increased losses in 2022, 2023, and 2024 when transaction volumes declined. If we are unable to effectively adapt or optimize our cost structure to offset declines in our revenue, including as a result of cost structure reduction initiatives we began implementing in 2024 and additional AI efficiencies we began implementing in 2025, it could have a material adverse effect on our growth,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growth depends in part on the success of our strategic relationships with third parties.</w:t>
      </w:r>
    </w:p>
    <w:p>
      <w:pPr>
        <w:pStyle w:val="TextBody"/>
        <w:bidi w:val="0"/>
        <w:spacing w:lineRule="auto" w:line="26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grow our business, we anticipate that we will continue to depend on relationships with and the financial success of third parties, such as settlement service providers, lenders, real estate agents, valuation companies, home inspectors, vendors we use to service and repair our homes, third-party partners we rely on for referrals, such as homebuilders and online real estate websites, and institutional buyers of our inventory, such as single-family rental REITs. If these third parties experience financial distress, our relationships may be adversely impacted. Identifying partners, negotiating and documenting agreements with them, and establishing and maintaining good relationships requires significant time and resources. Furthermore, in order to grow our business, we are offering more direct-to-consumer product offerings, which may impede our ability to maintain productive relationships with certain of our third-party partners.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rely on our relationships with MLS providers in all our markets both as key data sources for our pricing and for listing our inventory for resale. Many of our competitors and other real estate websites have similar access to MLSs and listing data and may be able to source real estate information faster or more efficiently than we can. If we lose existing relationships with MLSs and other listing providers, whether due to termination of agreements or otherwise, changes to our rights to use or timely access listing data, an inability to continue to add new listing providers or changes to the way real estate information is shared, our ability to price or list our inventory for resale could be impaired and our operating results may suffer.</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unsuccessful in establishing or maintaining successful relationships with third parties, our ability to compete in the marketplace or to grow our revenues could be impaired and our operating results may suffer. Even if we are successful, we cannot assure you that these relationships will result in increased customer usage of our product or increased revenues.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highly skilled personnel and the loss of one or more of our key personnel, or our failure to attract, motivate and retain other highly qualified personnel in the future, could harm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performance and success depends in large part upon the continued service of our senior management team. For instance, Kaz Nejatian is critical to the overall management of the Company and plays an important role in setting our strategic direction, maintaining our culture and executing on our business plan. Our ability to compete effectively and our future success depend on our ability to continue to identify, attract, hire, develop, motivate, and retain a large number of highly skilled personnel across all areas of our organization and our various product lines. Competition in our industry for qualified employees, particularly AI talent, is intense, and certain of our competitors may directly target our employees. For example, much of our key technology and processes are custom-made for our business by our personnel, and the loss of such personnel could significantly impact our ability to maintain and build upon such technology and processes. In addition, our compensation arrangements, such as our equity award programs, may not always be successful in attracting new employees and retaining and motivating our existing employees. Immigration policy and regulatory changes, uncertainty regarding such policies and regulations, and any resulting delays or increased costs for visa applications and immigration processes may also affect our ability to hire, mobilize, or retain some of our personnel, including members of our senior management team, who are from outside the United States, or employ personnel in the locations of our choice. For example, Kaz Nejatian is a Canadian citizen and is currently in the process of obtaining requisite work authorization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also depends in part upon our ability to facilitate successful transitions when management team members pursue other opportunities. In 2025, we undertook several transitions in personnel, including some of our senior management team. For example, in the second half of 2025, we appointed Kaz Nejatian as our Chief Executive Officer, Lucas Matheson as our President and Christy Schwartz as our Chief Financial Officer. While we have confidence in our team, the uncertainty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inherent in leadership transitions may be difficult to manage and can disrupt our business. The failure to successfully transition and assimilate key employees generally could adversely affect our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loss of highly skilled or key personnel, including key members of our senior management team, could materially and adversely affect our ability to build on the efforts they have undertaken and to execute our business plan, and we may not be able to find adequate replacements on a timely basis or at all. If we do not succeed in attracting well-qualified employees or retaining and motivating existing employees in a cost-effective manner, our business could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more concentrated in certain geographic markets. Exposure to local economies, regional economic downturns, severe weather, or catastrophic occurrences, or other disruptions or events may materially adversely affect our financial condition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nationwide coverage across the contiguous United States, with the ability to make offers in substantially all residential zip codes. For the year ended December 31, 2025, a majority of our revenue was generated from our top-ten markets by revenue. Local and regional conditions in these markets may differ significantly from prevailing conditions in the United States or other parts of the country. As a result, any unforeseen events or circumstances that negatively affect these areas could materially adversely affect our revenues and profitability. These risks include, without limitation: possible declines in the value of real estate; risks related to general and local economic conditions; demographic and population shifts and migration; possible lack of availability of mortgage funds and homeowners’ insurance; overbuilding; extended vacancies of properties; increases in competition, property taxes and operating expenses; changes in zoning laws; increased labor costs; unemployment; costs resulting from the clean-up of, and liability to third parties for damages resulting from, environmental problems; casualty or condemnation losses; changes in meteorological or climatic conditions; and uninsured damages from floods, hurricanes, tornadoes, wildfires, earthquakes or other natural disasters or severe weather events, which may become more frequent or severe as a result of climate change.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our top markets are primarily larger metropolitan areas, where home prices and transaction volumes are generally higher than other markets in the United States. To the extent people migrate outside of these markets due to lower home prices or other factors, and this migration continues to take place over the long-term, then the relative percentage of residential housing transactions may shift away from our historical top markets where we have generated most of our revenue. If we are unable to effectively adapt to any shift, including failing to increase revenue from other markets, then our financial performance may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dependent upon access to desirable inventory. Obstacles to acquiring attractive inventory, whether because of supply, competition, macroeconomic conditions, or other factors, may have a material adverse effect on our business, sales,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acquire homes directly from consumers and there can be no assurance of an adequate supply of such homes on terms that are attractive to us. A reduction in the availability of or access to inventory, including due to macroeconomic conditions or regulatory changes, could have a material adverse effect on our business, sales, and results of operations. Additionally, we evaluate thousands of potential homes daily using our proprietary pricing model and AI capabilities. If we fail to adjust our pricing to stay in line with broader market trends, or fail to recognize those trends, it could adversely affect our ability to acquire and resell inventory.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in acquiring our inventory, we compete with individual private home buyers and small-scale investors, as well as institutional investors and real estate companies. Potential home sellers may also prefer more traditional methods of selling real estate, such as listing their home on the MLS with a real estate broker, rather than using our solution to sell their home directly to Opendoor. Certain of our competitors may be larger in certain of our markets and may have greater financial or other resources than we do. Some competitors may have a lower cost of funds and access to funding sources that may not be available to us. Competition may result in less inventory, higher acquisition costs, or lower profitability.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ongoing ability to acquire homes is critical to our business model. A lack of available homes that meet our purchase criteria may have adverse effects on our ability to reach our desired inventory levels, our desired portfolio diversification, and our results of operations. For example, in recent periods, historically low listing volumes, due in part to macro uncertainty in the housing market and elevated mortgage rates, have constrained the supply of homes on the market and limited our access to desirable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Increases in transaction costs to acquire properties, including costs of evaluating homes and making offers, title insurance and escrow service costs, changes in transfer taxes, and any other new or increased acquisition costs, would have an adverse impact on our home acquisitions and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Reductions in the availability of mortgage financing provided by government agencies, changes in government financing programs, the reduction in availability of certain homeowners’ insurance, and increases in mortgage interest rates have decreased and could continue to decrease our buyers’ ability or desire to obtain financing, which would adversely affect our business and financial results.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our mortgage subsidiary to generate revenue through loan sales will depend, in part, on participation in programs administered by government agencies, such as the Federal Housing Administration, the Department of Veterans Affairs, the U.S. Department of Agriculture, and government-sponsored entities (“GSEs”), such as Fannie Mae and Freddie Mac. If any of these agencies or GSEs limit our ability to participate in their programs, or if their operations are eliminated or significantly changed, our mortgage business could be materially adversely affected. A number of legislative proposals have been introduced in recent years that would wind down or phase out the GSEs, and uncertainty remains regarding their future roles.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However, the secondary market for mortgage loans continues to currently primarily desire securities backed by Fannie Mae, Freddie Mac, or Ginnie Mae, and we believe the liquidity these agencies provide to the mortgage industry is important to the housing market. Any significant adverse change regarding the long-term structure and viability of Fannie Mae and Freddie Mac, including their financial condition or underwriting criteria, could result in adjustments to the size of their loan portfolios and to guidelines for their loan products and materially and adversely affect our mortgage business. Additionally, a reduction in the availability of financing provided by these institutions could adversely affect interest rates, mortgage availability, and sales of new homes and mortgage loans.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certain insurance companies doing business in our markets could restrict, curtail or suspend the issuance of homeowners’ insurance policies on single-family homes. This could both reduce the availability of hurricane, fire, and other types of natural disaster insurance, in general, and increase the cost of such insurance to prospective purchasers of homes. Mortgage financing for a new home is also conditioned, among other things, on the availability of adequate homeowners’ insurance. There can be no assurance that homeowners’ insurance will be available or affordable to prospective purchasers of our homes. Long-term restrictions on, or unavailability of, homeowners’ insurance could have an adverse effect on the residential real estate industry in our markets and on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From March 2022 to July 2023, the Federal Reserve Board raised its benchmark rate multiple times from 0.25% to 5.50%. While the Federal Reserve Board has since decreased the benchmark rate to 3.75%, mortgage interest rates remain elevated compared to recent historical levels. As a result of these elevated interest rates, the cost of financing a home purchase has increased significantly for the typical home buyer, which has reduced the affordability of mortgage financing and resulted in a decline in the demand for our homes. Future increases in mortgage rates could further decrease our buyers’ ability or desire to obtain financing, which would adversely affect our business and financial results.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limitation on, or reduction or elimination of, tax benefits associated with homeownership and/or selling residential real estate would have an adverse effect upon the demand for homes, which could adversely affect our business and financial results.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federal income tax laws and, in many cases, state income tax laws generally permit certain significant expenses associated with homeownership, primarily mortgage interest expense and property taxes, to be deducted for the purpose of calculating an individual’s taxable income, the ability to deduct mortgage interest expense and property taxes for federal and state income tax purposes is subject to significant limitations. For example, the Tax Cuts and Jobs Act of 2017 introduced a cap on the amount of state and local taxes (including property taxes) that could be deducted from income for U.S. federal income tax purposes (the “SALT deduction”) and further limited the deduction of interest paid on certain home mortgages. Although the OBBBA increased the cap for the SALT deduction through December 31, 2029, the bill also made permanent the limitation on interest paid on certain home mortgages. In addition, federal and many state income tax laws provide capital gains tax exemptions for certain residential real estate sales, but these exemptions are often subject to caps and other significant limitations. The federal government or a state government may change its income tax laws by eliminating, further limiting or otherwise substantially reducing these income tax benefits, which may increase the after-tax cost of owning a new home for many of our potential homebuyers, or reduce incentives for home sellers. Any such future changes may have an adverse effect on the residential real estate industry in general. For example, the loss or reduction of some or all homeowner tax deductions or tax exemptions for home sellers could decrease the demand for new homes or decrease the supply of available homes,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respectively. Any such future changes could also have a material adverse impact on our business, results of operations, and financial condition.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residential real estate industry may be impacted by industry changes, including as the result of certain or future class action lawsuits or government investigations.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residential real estate industry faces significant pressure from private lawsuits and investigations by the DOJ with regards to antitrust, the display of listings on and off the MLS, and other issues, including with respect to lawsuits and investigations in which we are not a named party.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April 2019, the National Association of Realtors (“NAR”) and certain brokerages and franchisors (including Realogy Holdings Corp., HomeServices of America, Inc., RE/MAX and Keller Williams Realty, Inc.) were named as defendants in a class action complaint alleging a conspiracy to violate federal antitrust laws by, among other things, requiring residential property sellers in Missouri to pay inflated commission fees to buyer brokers (the “NAR Class Action”).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15, 2024, NAR entered a settlement agreement to resolve on a class-wide basis the claims against NAR in the NAR Class Action. In addition to a monetary payment of $418 million, NAR agreed to change certain business practices, including changes to cooperative compensation and buyer agreements, which went into effect on August 17, 2024. Specifically, among other things, the NAR settlement agreement: (1) prohibits NAR and REALTOR® MLSs from requiring that listing brokers or sellers make offers of compensation to buyer brokers or other buyer representatives; (2) prohibits NAR, REALTOR® MLSs and MLS participants from making an offer of compensation on the MLS; and (3) requires all REALTOR® MLS participants to enter into a written buyer agreement specifying compensation before taking a buyer on tour. The NAR settlement received final court approval on November 26, 2024. Class action suits raising similar or related claims are pending and the outcome of the NAR Class Action may result in additional such actions being filed.</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revised NAR rules and practices, as well as changes resulting from any other lawsuits, could lead to changes in how real estate professionals interact with consumers and real estate commissions are communicated, negotiated, calculated, or paid, which may in turn meaningfully impact how home buyers and sellers engage with real estate professionals in the course of buying and selling a home. Without mandated commission sharing, for example, we may see the introduction of hourly or a la carte services. Home lending rules and norms do not currently allow buyers to include buyer’s agent compensation in the balance of a home loan, which may impair the ability of homebuyers to pay their agent fees when purchasing a home. If such changes have the effect of reducing buyer demand for homes, it would adversely impact our financial condition and results of operations. In addition, as a result of the NAR settlement, we have begun to offer concessions to certain buyers instead of paying buyer broker commissions. The Company treats buyer concessions as a reduction to revenue. This could negatively impact our revenue and gross profit, but is expected to have a neutral impact on our Contribution Profit (Loss) and (Loss) income from operations. Contribution Profit (Loss) is a non-GAAP financial measure. See “</w:t>
      </w:r>
      <w:r>
        <w:rPr>
          <w:rFonts w:ascii="Times New Roman;serif" w:hAnsi="Times New Roman;serif"/>
          <w:b w:val="false"/>
          <w:i/>
          <w:color w:val="000000"/>
          <w:sz w:val="20"/>
        </w:rPr>
        <w:t>Part II – Item 7. Management’s Discussion and Analysis of Financial Condition and Results of Operations – Non-GAAP Financial Measures</w:t>
      </w:r>
      <w:r>
        <w:rPr>
          <w:color w:val="000000"/>
        </w:rPr>
        <w:t xml:space="preserve">” </w:t>
      </w:r>
      <w:r>
        <w:rPr>
          <w:rFonts w:ascii="Times New Roman;serif" w:hAnsi="Times New Roman;serif"/>
          <w:b w:val="false"/>
          <w:color w:val="000000"/>
          <w:sz w:val="20"/>
        </w:rPr>
        <w:t xml:space="preserve">for further details and a reconciliation of Contribution Profit (Loss) to its nearest comparable GAAP measure.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as a result of the revised NAR rules and practices and otherwise, our competitors and other real estate market participants may engage in conduct that limits our ability to effectively compete, such as by restricting access to proprietary listing data, or by putting homes for sale on a private listing network, or otherwise using a non-MLS platform or mechanism to facilitate the buying and selling of homes instead of publicly through the MLS. Another industry participant or group could create a new listings data service, which could adversely impact our ability to buy and sell homes. Changes to our rights to use or timely access listing data, or changes to the way real estate information is shared, could also adversely impact our ability to buy and sell homes, which in turn may materially impact our business, financial condition,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Beyond the NAR Class Action and various similar private actions, beginning in 2018, the DOJ commenced an investigation into NAR for violations of the federal antitrust laws. The DOJ and NAR appeared to reach a resolution in November 2020, resulting in the filing of a Complaint and Proposed Consent Judgment pursuant to which NAR agreed to adopt certain rule changes, such as increased disclosure of commission offers. The DOJ has since sought to continue its investigation of NAR. It is uncertain what effect, if any, the resumption of the DOJ’s investigation will have on the larger real estate industry, including any further settlement or any decisions that may result therefrom to repeal, amend, or not enforce existing rules and regulations. Beyond monetary damages, the various class action suits seek to change real estate industry practices and, along with the DOJ investigation, have prompted NAR, state and local real estate boards or MLSs, and other real estate market participants to discuss and consider changes to long-established rules and regulations. Although changes arising from these lawsuits and investigations are uncertain and challenging to predict, they could result in outcomes that materially impact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renovate and repair homes before we resell the homes, and the cost or availability of third-party labor could adversely affect our holding period and investment return for homes.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frequently need to renovate or repair homes prior to listing for resale. We rely on third-party contractors and sub-contractors to undertake these renovations and repairs. These third-party providers may not be able to complete the required renovations or repairs within our expected timeline or proposed budget. Labor and supply shortages, as well as increased demand for home construction, may exacerbate these delays and increase our costs. The cost and availability of labor may be adversely affected by changes in regulatory policy and enforcement and trends in labor migration. In addition, the inflation we have experienced in recent years has increased the cost of goods and services that we consume, such as labor and materials costs for home repairs. Moreover, the current U.S. presidential administration has implemented tariffs on certain goods and services imported from Canada, Mexico, China, and other countries, and has promoted plans to pursue other trade policies intended to restrict imports, which may further increase the cost of materials for home repairs. We cannot predict what additional actions may ultimately be taken by the U.S. or other governments with respect to tariffs or trade relations, what products may be subject to such actions, or what actions may be taken by the other countries in retaliation.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Difficulty sourcing third-party contractors and subcontractors and a longer than expected period for completing renovations or repairs could both negatively impact our ability to sell a home within our anticipated timeline. This prolonged timing exposes us to factors that adversely affect the home’s resale value and may result in selling the home for a lower price than anticipated or not being able to sell the home at all. Meanwhile, incurring more than budgeted costs would adversely affect our investment return on purchased homes. Additionally, any undetected issues with a third-party provider’s work may adversely affect our reputation as a home seller.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acquire or dispose of businesses or pursue other strategic transactions, which could require significant management attention, disrupt our business, dilute or adversely impact stockholder value, and adversely affect our operating results.</w:t>
      </w:r>
    </w:p>
    <w:p>
      <w:pPr>
        <w:pStyle w:val="TextBody"/>
        <w:bidi w:val="0"/>
        <w:spacing w:lineRule="auto" w:line="26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part of our business strategy, we engage in a variety of strategic initiatives and explore potential strategic options. As a result, among other things, we may make investments in or acquire complementary companies, products or technologies. We may not realize benefits from acquisitions that we may make in the future. If we fail to integrate successfully such acquisitions, or the businesses and technologies associated with such acquisitions, into our Company, the revenue and operating results of our Company could be adversely affected. Any integration process will require significant time and resources, and we may not be able to manage the process successfully. We may not successfully evaluate or utilize any acquired business or technology and accurately forecast the financial impact of an acquisition or other strategic transaction, including accounting charges. We may have to pay cash, incur debt or issue equity securities to pay for any such acquisition, each of which could affect our financial condition or the value of our capital stock. The sale of equity or issuance to finance any such acquisitions could result in dilution to our stockholders or adversely impact the price of our common stock. The incurrence of indebtedness in connection with an acquisition would result in increased fixed obligations and could also include covenants or other restrictions that may impede our ability to manage our operations. We may also divest or dispose of business lines that no longer fit into our strategy. Any such transaction may not achieve expected results or may have unanticipated consequences for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health and safety incident relating to our operations, misconduct by our employees or third parties operating on our behalf or regulatory sanctions could be costly in terms of potential liability and reputational damage.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Customers will visit homes on a regular basis through our mobile application or with a real estate agent. Due to the number of homes we own, the safety of our homes is critical to the success of our business. A failure to keep our homes safe that results in a major or significant health and safety incident could expose us to liability that could be costly. We are also subject to risks of errors and misconduct by our employees or contractors that could adversely affect our business. The precautions that we take to detect and deter employee and contractor misconduct might not be effective. If any of our employees or contractors engage in illegal, improper, or suspicious activity or other misconduct, we could suffer serious harm to our reputation, financial condition, customer relationships, and our ability to attract new customers. We also could become subject to regulatory sanctions and significant legal liability, which could cause serious harm to our financial condition, reputation, customer relationships and prospects of attracting additional customers.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 above or other incidents could generate significant negative publicity and have a corresponding impact on our reputation, our relationships with relevant regulatory agencies or governmental authorities, and our ability to attract customers, employees and contractors, which in turn could have a material adverse effect on our financial results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are risks related to our ownership of vacant homes and the listing of those homes for resale that are not possible to fully eliminate.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homes in our inventory generally are not occupied during the time we own them prior to resale. As a result, certain of our homes have incurred damage such as water and plumbing damage that was not promptly addressed as a result of the home being vacant. Further, when a home is listed for resale, prospective buyers or their agents typically can access our homes instantly through our technology without the need for an appointment or one of our representatives being present. In certain circumstances, we also allow sellers to continue to occupy a home after we have purchased the home for a short period of time. Having visitors or short-term occupants in our homes entails risks of damage to the homes, personal injury, unauthorized activities on the properties, theft, rental scams, squatters and trespassers, and other situations that may have adverse impacts on us or the homes, including potential adverse reputational impacts. Additionally, all of these circumstances may involve significant costs to resolve that may not be fully covered by insurance, including legal costs associated with making repairs to the homes or removing unauthorized visitors and occupants. If these increased costs are significant across our homes inventory, both in terms of costs per home and numbers of homes impacted, this could have an adverse material impact on our results of operations.</w:t>
      </w:r>
    </w:p>
    <w:p>
      <w:pPr>
        <w:pStyle w:val="TextBody"/>
        <w:bidi w:val="0"/>
        <w:spacing w:lineRule="auto" w:line="288" w:before="240" w:after="283"/>
        <w:jc w:val="left"/>
        <w:rPr/>
      </w:pPr>
      <w:r>
        <w:rPr>
          <w:rFonts w:ascii="Times New Roman;serif" w:hAnsi="Times New Roman;serif"/>
          <w:b/>
          <w:i/>
          <w:color w:val="000000"/>
          <w:sz w:val="20"/>
        </w:rPr>
        <w:t>Our mortgage business could fail to achieve expected results, may expose us to greater risk and obligations, and could cause harm to our financial results, operations, and reputation.</w:t>
      </w:r>
      <w:r>
        <w:rPr>
          <w:color w:val="000000"/>
        </w:rPr>
        <w:t xml:space="preserv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our mortgage business through our wholly-owned mortgage subsidiary. To grow our mortgage business, we expect that such entity will depend, in part, on having access to sufficient capital. If it does not have sufficient cash on hand, it would not be able to fund new loans. If our wholly-owned mortgage subsidiary is unable to form or retain relationships with third-party financial institutions to purchase its loans or to comply with any covenants in its agreements with these institutions, it may be unable to sell its loans on favorable terms or at all. All of the foregoing could cause harm to our financial results, operations, and reputation.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expect that substantially all mortgage loans we originate will be sold into the secondary market. The gain recognized from such sales will represent a significant portion of our mortgage-related revenue. Demand in the secondary market and our ability to complete the sale or securitization of mortgage loans depends on factors beyond our control, including general economic conditions, conditions in the banking system, and the willingness of investors to purchase mortgage loans and mortgage-backed securities. If it is not possible or economical for us to complete such sales, our revenues and margins on new loan originations could be materially and negatively impacted.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When we sell mortgage loans, we make representations and warranties to purchasers and insurers regarding loan quality, compliance with origination guidelines, and adherence to applicable laws. These representations and warranties typically remain in place for the life of the loan. In the event of a breach, we may be required to repurchase the mortgage loan or indemnify the purchaser, and any subsequent loss may be borne by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Environmentally hazardous conditions, and regulations relating to climate change and energy, may adversely affect 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various federal, state and local environmental laws, a current or previous owner or operator of property may be liable for the cost of removing or remediating hazardous or toxic substances on, in, from, or under such property. Such laws often impose liability whether or not the owner or operator knew of, or was responsible for, the presence of such hazardous or toxic substances. Even if more than one person may have been responsible for the contamination, each person covered by applicable environmental laws may be held responsible for all of the clean-up costs incurred. A property owner who violates environmental laws may be subject to sanctions which may be enforced by governmental agencies or, in certain circumstances, private parties. In connection with the acquisition and ownership of our properties, as well as any repairs to, or disposal, or arrangement for the transport for disposal, of materials from such properties, we may be exposed to such costs. The cost of defending against environmental claims, of compliance with environmental regulatory requirements or of remediating any contaminated property could materially and adversely affect 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new or more stringent environmental and climate-related laws or regulations or stricter interpretation of existing laws may require material expenditures by us. Such laws or regulations and other expectations are not uniform, and may be inconsistently interpreted or applied, which can increase the complexity and costs of compliance as well as any associated litigation or enforcement risks. We may be subject to environmental laws or regulations relating to our properties, such as those concerning lead-based paint, mold, asbestos, asbestos-containing materials, radon, pesticides, proximity to power lines or other issues. We cannot assure you that future laws, ordinances or regulations will not impose any material environmental liability or that the current environmental condition of our properties will not be affected by existing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the land, operations in the vicinity of the properties or the activities of unrelated third parties. In addition, we may be required to comply with various local, state and federal fire, health, life-safety and similar regulations. Failure to comply with such applicable laws and regulations could result in fines and/or damages, suspension of personnel, civil liability or other sanctions.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Estimates of market opportunity may prove to be inaccurate.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Market opportunity estimates are subject to significant uncertainty and are based on assumptions and estimates that may not prove to be accurate. The variables that go into the calculation of our market opportunity are subject to change over time, and there is no guarantee that our market opportunity estimates will reflect actual revenue that we will generate from our platform in the future. Any expansion in our markets depends on a number of factors, including the cost, performance, and perceived value associated with our platform and the products and services of our competitors.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Some of our potential losses may not be covered by insurance. We may not be able to obtain or maintain adequate insurance coverage.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maintain insurance to cover costs and losses from certain risk exposures in the ordinary course of our operations, including in connection with the issuance of title insurance policies, but our insurance may not cover 100%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 and Technology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significant disruption in service in our computer systems and third-party networks and mobile infrastructure that we depend on could result in a loss of customers and we may be unable to maintain and scale the technology underlying our offerings.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Customers and potential customers access our products primarily through our website and mobile applications. Our ability to attract, retain and serve customers depends on the reliable performance and availability of our website, mobile application, AI tools and features, and technology infrastructure. Furthermore, we depend on the reliable performance of third-party networks and mobile infrastructure to provide our technology offerings to our customers and potential customers. The proper operation of these third-party networks and mobile infrastructure is beyond our control, and service interruptions or website unavailability could impact our ability to service our customers in a timely manner, and may have an adverse effect on existing and potential customer relationships.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information systems and technology may not be able to continue to accommodate our growth and are subject to security risks. The cost of maintaining such systems may increase. Such a failure to accommodate growth, or an increase in costs related to such information systems, could have a material adverse effect on our business and results of operations and could result in a loss of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process, store, and use Personal Information and other data, which subjects us to governmental regulation and other legal obligations related to privacy, and any violation or perceived violation of these privacy obligations could result in a claim for damages, regulatory action, loss of business, or unfavorable publicity.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 store, and process information that relates to individuals and/or constitutes “personal information,” “personal data,” “personally identifiable information,” or similar terms under applicable data privacy laws (collectively “Personal Information”) including from and about actual and prospective customers as well as our employees and business contacts. We are therefore subject to numerous federal, state, and foreign laws, as well as regulations and industry guidelines, regarding privacy and the storing, use, processing, disclosure, and protection of Personal Information, the scope of which are changing, subject to differing interpretations, and may be inconsistent among states and countries or conflict with other rules. For example, certain of our subsidiaries are considered financial institutions under the Gramm-Leach-Bliley Act (the “GLBA”). The GLBA regulates, among other things, the use of certain information about individuals in the context of the provision of financial services, including both a “Privacy Rule” (which imposes obligations on financial institutions relating to the use or disclosure of non-public personal information) and a “Safeguards Rule” (which imposes obligations on financial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indirectly their service providers, to implement and maintain physical, administrative and technological measures to protect the security of non-public personal financial information).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are subject to laws, regulations, and standards covering marketing and advertising activities conducted by telephone, email, mobile devices, and the internet, such as the TCPA (as implemented by the Telemarketing Sales Rule), the CAN-SPAM Act, and similar state consumer protection laws. Federal or state regulatory authorities or private litigants may claim that the notices and disclosures we provide, form of consents we obtain, or our calling and SMS texting practices are not adequate or violate applicable law. This may in the future result in civil claims against us, which could be costly to litigate, whether or not they have merit, and could expose us to substantial statutory damages or costly settlements. 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and other applicable laws, any violations could result in the FTC or other regulatory authority seeking civil penalties against 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has been a notable increase in class actions in the U.S. where plaintiffs have utilized a variety of laws, including state wiretapping laws, in relation to the use of chatbots, cookies and other tracking technologies.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 Information or other customer data, may result in governmental enforcement actions (including fines and penalties), litigation (including class action lawsuits), or public statements against us by consumer advocacy groups or others. For example, in the United States, the FTC and state regulators enforce a variety of data privacy issues, such as promises made in privacy policies or failures to appropriately protect information about individuals, as unfair or deceptive acts or practices in or affecting commerce in violation of the FTC Act or similar state laws.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significant change to applicable laws, regulations or industry practices regarding the use or disclosure of Personal Information, or regarding the manner in which the express or implied consent of customers for the use and disclosure of Personal Information is obtained (including for advertising purposes), could require us to modify our products and features, possibly in a material manner and subject to increased compliance costs, which may limit our ability to develop new products and features that make use of the Personal Information that we process. In addition, in recent years, certain states have adopted or modified data privacy and security laws and regulations that may apply to our business. For example, the CCPA imposes obligations and restrictions on companies regarding their collection, use, and sharing of Personal Information and provides data privacy rights to California residents. The CCPA, like other comprehensive state privacy laws, imposes a severe statutory damages framework. The CCPA requires covered businesses to, among other things, provide disclosures to California consumers, and it affords such consumers privacy rights such as the ability to opt-out of certain sales or the sharing of Personal Information, access their Personal Information, request the deletion of their Personal Information, and receive detailed information about how their Personal Information is collected, used and shared. The CCPA provides for civil penalties for violations, as well as a private right of action for certain security breaches that may increase security breach litigation. The enactment of the CCPA is prompting a wave of similar legislative developments in other states in the United States, which creates a patchwork of overlapping but different state laws. For example, since the CCPA went into effect, comprehensive privacy statutes that share similarities with the CCPA are now in effect and enforceable in numerous U.S. states. These laws may increase our compliance costs and potential liability, particularly in the event of a data breach, and could have a material adverse effect on our business, including how we use Personal Information, our financial condition, the results of our operations or prospects. A number of other proposals exist for new federal and state privacy legislation that, if passed, could increase our potential liability, increase our compliance costs and adversely affect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materially adversely affect our brand, reputation,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protect our trade secrets, know-how, proprietary applications, business processes and other proprietary information could adversely affect the value of our technology and products.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depends in part on our intellectual property and our other proprietary business information. We seek to protect and control access to our proprietary intellectual property, technology, and information by entering into a combination of confidentiality and proprietary rights agreements, invention assignment agreements and nondisclosure agreements with our employees, consultants and third parties with whom we have relationships. While these agreements will give us contractual remedies upon any unauthorized use or disclosure of our proprietary information and trade secrets, we cannot guarantee that we will be able to detect such unauthorized activity, or if detected, that our rights under these agreements will be effective in controlling access to, or use and distribution of, our proprietary information, intellectual property or technology. We also have numerous registered trademarks and patents to protect certain aspects of our intellectual property, and copyrights to protect certain other aspects of our intellectual property. However, we may be unable to secure intellectual property protection for all of our technology and methodologies, or the steps we take to enforce our intellectual property rights may be inadequate. Furthermore, third parties may knowingly or unknowingly infringe our proprietary rights, third parties may challenge proprietary rights held by us, and we may not be able to prevent infringement or misappropriation of our proprietary rights without incurring substantial expense. If our intellectual property rights are used or misappropriated by third parties, the value of our brand and other intangible assets may be diminished and competitors may be able to more effectively mimic our products and methods of operations. Additionally, any changes in, or unfavorable interpretations of, intellectual property or employment-related laws, rules or regulations may compromise our ability to enforce our trade secret and intellectual property rights. For example, some jurisdictions have introduced bans on noncompete agreements, which increases the risk of our employees in those jurisdictions transferring their skills and knowledge to the benefit of our competitors. Any of these events would have a material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continue to use the domain names that we use in our business, or prevent third parties from acquiring and using domain names that infringe on, are similar to, or otherwise decrease the value of our brand or our trademarks or service marks.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registered domain names for our websites that we use in our business. If we lose the ability to use a domain name, we may incur significant expenses to market our products and services under a new domain name, which could harm our business. In addition, our competitors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and enforcing our rights in our domain names and determining the rights of others may require litigation, which could result in substantial costs and diversion of management’s attention.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future we may be party to intellectual property rights claims and other litigation which are expensive to support, and if resolved adversely, could have a significant impact on 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us not infringing upon or misappropriating the intellectual property rights of others. Our competitors and other third parties may own or claim to own intellectual property relating to the real estate industry. In the future, third parties may claim that we are infringing on or misappropriating their intellectual property rights, and we may be found to be infringing or misappropriating such rights. Any claims or litigation could cause us to incur significant expenses. If such claims are successfully asserted against us, we may be required to pay damages or licensing payments, which may prevent us from offering our services or require us to comply with unfavorable terms. Even if we were to prevail, the time and resources necessary to resolve such disputes could be costly, time-consuming, and divert the attention of management and key personnel from our business operations. We have been previously subject to trademark infringement claims. These claims allege, among other things, that aspects of our trademarks infringe upon the plaintiffs’ trademarks. While these prior claims have not been material and have all been resolved, there may be additional claims in the future where, if we are not successful in defending ourselves against these claims, we may be required to pay damages and may be subject to injunctions, each of which could harm our business, results of operations, financial condition and reputation.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Issues in, and increasing regulation with respect to, the development and use of AI may result in reputational harm or liability.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began operating on a “default to AI” basis in all aspects of our operations. We use AI, machine learning, and automated decision-making technologies, including proprietary AI and machine learning algorithms and models, (collectively, “AI Technologies”) throughout our business, and are making additional investments in this area. For example, we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 AI Technologies into our pricing algorithms, and our research into and continued development of such capabilities to build additional proprietary real estate specific models remain ongoing. We expect that increased investment will be required in the future to continuously improve our use of AI Technologies. As with many technological innovations, AI Technologies present risks, challenges, and unintended consequences that could affect its development, adoption, and use, and therefore our business.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particular, we incorporate generative AI Technologies (i.e., AI Technologies that can produce and output new content, software code, data and information) into our solutions and internal business practices. For example, certain of our employees also use generative AI technologies to perform their work, including developing software and content, data processing and performing frequently performed internal tasks. Incorporating AI Technologies into our pricing algorithms and other models to potentially improve internal functions and operations presents further risks and challenges. While we aim to use AI Technologies ethically and accurately, and attempt to identify and mitigate ethical or legal issues presented by its use, we may be unsuccessful in identifying or resolving issues before they arise. The use of AI Technologies to support business operations also carries inherent risks related to data privacy and security, such as intended, unintended, or inadvertent transmission of proprietary or sensitive information, as well as challenges related to implementing and maintaining AI Technologies, such as developing and maintaining appropriate datasets for such support. Moreover, AI, including our use of AI, may create additional cybersecurity risks or increase existing cybersecurity risks, and may result in, or increase impacts of, cyberattacks, security breaches, phishing attacks, personal data breaches, or other incidents. For example, threat actors are increasingly using tools and techniques, some of which are developed or enhanced by AI, that circumvent controls, evade detection, and remove forensic evidence, which means that we and others may be unable to anticipate, detect, deflect, contain or recover from cyberattacks in a timely or effective manner. Further, dependence on AI Technologies without adequate safeguards to make certain business decisions may introduce additional operational vulnerabilities by impacting our relationships with customers and business partners; by producing inaccurate outcomes based on flaws in the underlying data or otherwise; or other unintended results.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AI algorithms and training methodologies underlying our AI Technologies may be flawed. Inadequate AI Technology development or deployment practices by us or others could result in incidents that impair the effectiveness of AI solutions or cause harm to individuals or society, including unintended biases and discriminatory outcomes. Third-party AI capabilities that can be integrated with our platforms could produce false or “hallucinatory” inferences about customer data or enterprises, or other information or subject matter. These deficiencies and other failures of AI Technologies could subject us to competitive harm, regulatory action, legal liability, and brand or reputational harm. If we employ AI Technologies that are controversial because of their impact on human rights, privacy, employment, or social, economic, political or other issues, we may experience competitive, brand, or reputational harm or legal and/or regulatory action. Further, incorporating AI Technologies gives rise to litigation risk and risk of non-compliance and unknown cost of compliance, as AI Technology is an emerging technology for which the legal and regulatory landscape is not fully developed, (including potential liability for breaching intellectual property or privacy rights or other laws).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October 2023, President Biden issued an Executive Order on the Safe, Secure, and Trustworthy Development and Use of Artificial Intelligence, which emphasized AI safety and security and addressed topics such as civil rights, privacy, consumer protection, and accountable federal use of AI. In January and July 2025, President Trump issued three executive orders on AI, one of which repealed President Biden’s 2023 Executive Order, shifting the focus towards removing regulatory barriers to the adoption of AI Technologies and accelerating AI deployment.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absence of federal AI legislation, states have filled the void by enacting laws regulating different aspects of AI Technologies. For example, California has enacted laws and regulations related to AI safety protocols and reporting and transparency, among other AI-related topics. In addition, Colorado’s Artificial Intelligence Act will require developers and deployers of “high-risk” AI systems to implement certain safeguards against algorithmic discrimination (among other requirements), and the Texas Responsible Artificial Intelligence Governance Act prohibits the development and deployment of AI systems for certain purposes while establishing a regulatory sandbox. Moreover, state AI laws like Colorado’s Artificial Intelligence Act and various state privacy laws, including the CCPA, regulate the use of automated decision making technology, particularly when it results in legal or similarly significant effects on individuals, and provide rights to individuals with respect to such technology.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Numerous other states have enacted, passed, or are considering AI-focused legislation, creating a patchwork of regulations and a complex compliance challenge. However, the durability of these laws and the potential of additional 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pPr>
      <w:r>
        <w:rPr>
          <w:rFonts w:ascii="Times New Roman;serif" w:hAnsi="Times New Roman;serif"/>
          <w:b w:val="false"/>
          <w:color w:val="000000"/>
          <w:sz w:val="20"/>
        </w:rPr>
        <w:t>level legislative activity faces uncertainty following President Trump’s December 2025 Executive Order “Ensuring a National Policy Framework for Artificial Intelligence.” This Executive Order establishes a federal policy favoring a uniform national AI regulatory framework designed to promote innovation and U.S. global competitiveness. The order directs federal agencies to identify, challenge, and potentially preempt state and local AI laws that are viewed as inconsistent with or burdensome to this national approach. It remains to be seen how agencies will effectuate this directive, and how states will approach AI legislation moving forward. Any or all of the foregoing regulatory developments could materially adversely affect our business, results of operations, and financial condition. Further, any failure or perceived failure by us to comply with existing or newly enacted laws, regulations and other requirements relating to AI Technologies</w:t>
      </w:r>
      <w:r>
        <w:rPr>
          <w:color w:val="000000"/>
        </w:rPr>
        <w:t xml:space="preserve"> </w:t>
      </w:r>
      <w:r>
        <w:rPr>
          <w:rFonts w:ascii="Times New Roman;serif" w:hAnsi="Times New Roman;serif"/>
          <w:b w:val="false"/>
          <w:color w:val="000000"/>
          <w:sz w:val="20"/>
        </w:rPr>
        <w:t>could result in legal claims or proceedings (including class actions), regulatory investigations or enforcement 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services utilize third-party open source software components, which may pose particular risks to our proprietary software, technologies, products and services in a manner that could negatively affect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our services and will continue to use open source software in the future. Our use and distribution of open source software may entail greater risks than use of third-party commercial software, as open source licensors generally do not provide support, warranties, indemnification or other contractual protections regarding intellectual property rights infringement claims or the quality of the licensed code. To the extent that our services depend upon the successful operation of open source software, any undetected errors or defects in this open source software could prevent the deployment or impair the functionality or operation of our platform, delay new solutions introductions, and injure our reputation.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or license the source code of our proprietary software to the public. Although we monitor our use of open-source software to avoid subjecting our platform to conditions we do not intend, we cannot assure you that our processes for controlling our use of open-source software in our platform will be effective. From time to time, we may be subject to claims claiming ownership of, or demanding release of, the source code, the open source software and/or derivative works that were developed using such software, requiring us to provide attributions of any open source software incorporated into our distributed software, or otherwise seeking to enforce the terms of the applicable open source license. These claims could also result in litigation, require us to purchase a costly license or require us to devote additional research and development resources to re-engineer our software or change our products or services, any of which would have a negative effect on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licenses to use the intellectual property rights of third parties that are incorporated into our products and services. Failure to renew or expand existing licenses may require us to modify, limit or discontinue certain offerings, which could materially affect our business, financial condition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cannot be certain that our licensors are not infringing or misappropriating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rights infringement or misappropriation claims brought by third parties against our suppliers and licensors or against us, or if we are unable to continue to obtain the technology or enter into new agreements on commercially reasonable terms, our ability to develop our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software is highly complex and may contain undetected errors.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software and code underlying our platform is highly interconnected and complex and may contain undetected errors, malicious code or vulnerabilities, some of which may only be discovered after the code has been released. We release or update software code regularly and this practice may result in the more frequent introduction of errors or vulnerabilities into the software underlying our platform, which can impact the customer experience on our platform. Additionally, due to the interconnected nature of the software underlying our platform, updates to certain parts of our code, including changes to our mobile app or website or third-party application programming interfaces on which our mobile app or website rely, could have an unintended impact on other sections of our code, which may result in errors or vulnerabilities to our platform. Any errors or vulnerabilities discovered in our code after release could result in damage to our reputation, loss of our customers, loss of revenue or liability for damages, any of which could adversely affect our growth prospects and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our development and testing processes may not detect errors and vulnerabilities in our technology offerings prior to their implementation. Any inefficiencies, errors, technical problems or vulnerabilities arising in our technology offerings after their release could reduce the quality of our products or interfere with our customers’ access to and use of our technology and offerings.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Regulatory Compliance and Legal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operate in a highly regulated industry and are subject to a wide range of federal, state, and local laws, rules, and regulations. Failure to comply with these laws, rules, and regulations or to obtain and maintain required licenses, could adversely affect our business, results of operations,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insurance, construction, mobile and internet based businesses and other businesses that rely on advertising, as well as data privacy and consumer protection laws, and employment laws. These laws are complex and sometimes ambiguous, could directly impact our operations, and can be costly to comply with, require significant management time and effort, require a substantial investment in technology, and subject us to supervisory audits, claims, government enforcement actions, civil and criminal liability or other remedies, including suspension of business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members of Congress and lawmaking bodies in several different states have proposed, and, in some cases enacted, legislation intended to disincentivize or restrict certain business entities, pooled investment funds, and institutional purchasers from acquiring, owning, or, in some cases, obtaining an interest in, single-family residential real estate. These laws and proposals generally attempt to prohibit or discourage restricted entities from purchasing residential real estate, and/or establish a maximum allowable number of single-family residential homes that can be purchased or held in inventory by certain specified types of entities. Some of these proposals would establish statutory penalties for violations, while others attempt to establish significant tax penalties to be levied upon (or attempt to limit or eliminate certain tax deductions or benefits for) specified purchasers and owners of single-family residential homes.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January 2026, President Trump issued an executive order directing federal agencies to prevent agencies and government-sponsored enterprises from facilitating the acquisition by “large institutional investors” of “single-family homes” in the United States that could otherwise be purchased by individual owner-occupants. The order directs the Secretary of the Treasury to develop definitions of “large institutional investor” and “single-family home” and calls on Congress to enact legislation codifying these restrictions. Additionally, the order requires owners of single-family rentals participating in federal housing assistance programs to disclose direct or indirect ownership interests to determine involvement of large institutional investors.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order also directs the Attorney General and the Federal Trade Commission to review substantial acquisitions by large institutional investors of single-family homes for anti-competitive effects and to prioritize enforcement of antitrust laws against coordinated vacancy and pricing strategies. If our home acquisition activities attract antitrust scrutiny under this directive, we could be subject to investigations, enforcement actions, or restrictions that could materially impact our business operations and strategic initiatives.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Such changes in the law could have broad consequences on participants in the mortgage and general real estate industries. Such consequences could include, without limitation, restricting single-family rental owners and/or operators from acquiring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owning single-family residential properties, forced divestiture of single-family real estate already owned, restricting entities from holding security interests in single-family real estate, restricting parties from taking ownership of single-family real estate through foreclosure of a security interest, decreasing or barring certain tax deductions for certain purchasers or owners of single-family real estate or levying substantial taxes or penalties on these and other activities. Depending on the individual law, restricted parties could be read to include certain issuers of mortgage-backed securities and other pooled investment entities. While we do not expect Opendoor to be classified as a “large institutional investor” under the pending definitions, the scope of such definitions remains uncertain. If Opendoor is included within the definition of “large institutional investor” or another restricted entity, these restrictions could have a significant adverse impact on our ability to buy and sell homes, access GSE programs for financing or securitization purposes, or participate in federal housing programs. Additionally, certain of these proposals may cause originators of residential consumer loans to curtail or potentially cease originating and selling loans collateralized by properties in specific states, which could have an adverse effect on our mortgage business. These and other potential consequences could materially and adversely impact our business, financial condition,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buy and sell homes, operate a mortgage business, provide real estate brokerage services, provide title insurance and settlement services, provide other product offerings, and have historically provided brokerage services, which results in us receiving or facilitating transmission of Personal Information. This information is increasingly subject to legislation and regulation in the United States. These laws and regulations are generally intended to protect the privacy and security of Personal Information, including borrower Social Security numbers, banking information, and credit card information that is collected, processed and transmitted. These laws also can restrict our use of this Personal Information for other commercial purposes. We could be adversely affected if government regulations require us to significantly change our business practices with respect to this type of information, if penetration of network security or misuse of Personal Information occurs, or if the third parties that we engage with to provide processing and screening services violate applicable laws and regulations, misuse or mishandle information, or experience network security breaches.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provide the broad range of products and services that we offer customers, certain of our subsidiaries maintain title insurance and escrow, property and casualty insurance, construction, and real estate licenses in certain states in which we operate. These entities are subject to stringent local, state, and federal laws and regulations and to the scrutiny of state and federal government agencies as licensed businesses.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Mortgage products are regulated at the state level by licensing authorities and administrative agencies, with additional oversight from the CFPB and other federal agencies. These laws generally regulate the manner in which lending and lending-related activities, including mortgage brokering, are marketed or made available to consumers, including, but not limited to, advertising, finding and qualifying applicants, the provision of consumer disclosures, payments for services, and record keeping requirements; these laws include, at the federal level, RESPA, the Fair Credit Reporting Act (as amended by the Fair and Accurate Credit Transactions Act), the Truth in Lending Act (including the Home Ownership and Equity Protection Act of 1994), the Equal Credit Opportunity Act, the Fair Housing Act, the GLBA,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TCPA, the Mortgage Acts and Practices Advertising Rule (Regulation N), all implementing regulations, and various other federal laws.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CFPB also has broad authority to regulate mortgage origination activities and enforce prohibitions on practices that it deems to be unfair, deceptive or abusive. The growing regulatory focus on AI/automated underwriting, digital mortgage platforms, property valuation models, and fair lending may require us to adapt our business practices and could affect our ability to maintain compliance. Heightened uncertainty exists with respect to the future of the CFPB, including its leadership and enforcement priorities. Additionally, state and local laws may restrict the amount and nature of interest and fees that may be charged by a lender or mortgage broker, impose more stringent privacy requirements and protections for servicemembers, and/or otherwise regulate the manner in which lenders or mortgage brokers operate or advertise. We cannot predict the specific legislative or executive actions that may result or what impact such changes may have on our mortgage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buyer and seller of residential real estate through our business, we hold real estate brokerage licenses in multiple states and may apply for additional real estate brokerage licenses as our business grows. To maintain these licenses, we must comply with the requirements governing the licensing and conduct of real estate brokerage services and brokerage-related businesses in the markets where we operate. We may be subject to additional local, state and federal laws and regulations governing residential real estate transactions, including those administered by the U.S. Department of Housing and Urban Development, and the states and municipalities in which we transact. Further, due to the geographic scope of our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nature of the products and services we provide, certain of our other subsidiaries maintain real estate brokerage, property and casualty, and title insurance and escrow, and construction licenses in certain states in which we operate. Each of these licenses subjects our subsidiaries to different federal, state, and local laws and the scrutiny of different licensing authorities, including state insurance departments. Each subsidiary must comply with different licensing statutes and regulations, as well as varied laws that govern the offering of compliant products and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certain licenses, we are required to designate individual licensed brokers of record, qualified individuals and control persons. Certain licensed entities also are subject to routine examination and monitoring by the CFPB (for mortgage and title and escrow) and/or state licensing authorities. We cannot assure you that we, or our licensed personnel, are and will remain at all times, in full compliance with local, state and federal real estate, title insurance and escrow, property and casualty insurance, real estate and mortgage licensing and consumer protection laws and regulations, and we may be subject to litigation, government investigations and enforcement actions, fines or other penalties in the event of any non-compliance. As a result of findings from examinations, we also may be required to take a number of corrective actions, including modifying business practices and making refunds of fees or money earned. In addition, adverse findings in one state may be relied on by another state to conduct investigations and impose remedies. If we apply for new licenses, we will become subject to additional licensing requirements, which we may not be in compliance with at all times. If in the future a state agency were to determine that we are required to obtain additional licenses in that state in order to operate our business, or if we lose or do not renew an existing license or are otherwise found to be in violation of a law or regulation, we may be subject to fines or legal penalties, lawsuits, enforcement actions, void contracts, or our business operations in that state may be suspended or prohibited. Our business reputation with consumers and third parties also could be damaged. Compliance with, and monitoring of, these laws and regulations is complicated and costly and may inhibit our ability to innovate or grow.</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unable to comply with these laws or regulations in a cost-effective manner, it may require us to modify certain products and services, which could require a substantial investment and result in a loss of revenue, or cease providing the impacted product or service altogether. Furthermore, laws and regulations and their interpretation and application may also change from time to time and those changes could have a material adverse effect on our products and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subject to the risks of international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our employees are located in Canada and India, and we also have consultants located in Poland. Compliance with applicable U.S. and foreign laws and regulations, such as labor laws, immigration laws, anti-corruption laws, anti-bribery laws, anti-money laundering laws, tax laws, foreign exchange controls and data privacy and data localization requirements, increases our cost of doing business. Although we have implemented policies and procedures to comply with these laws and regulations, a violation by us or our employees, contractors or agents could nevertheless occur. In some cases, compliance with the laws and regulations of one country could violate the laws and regulations of another country. Violations of these laws and regulations could materially adversely affect our brand, international growth efforts and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entered into a consent order with the FTC that imposes ongoing obligations. Any alleged or actual noncompliance with the consent order could have a material adverse effect on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FTC began conducting an investigation into Opendoor in August 2019. The inquiry related primarily to statements in our advertising and website comparing selling homes to us with selling homes in a traditional manner using an agent and relating to statements that our offers reflect or are based on market prices. We began discussing resolution of this matter with the FTC in December 2020. After extensive negotiations, we agreed to enter into a consent order resolving all aspects of the inquiry, which became final on October 21, 2022. Pursuant to the consent order, we did not admit any wrongdoing, we are required to refrain from making certain statements as set forth in the order, and we are required to possess competent and reliable supporting data prior to making statements regarding the costs, savings, repair costs, or financial benefits of our services related to assisting consumers selling homes. The consent order also required that we pay $62 million to the FTC, retain certain records, submit a compliance report to the FTC, provide certain notices required under the order, and respond to inquiries from the FTC related to the order. Compliance with the order has resulted in, and may in the future result in, increased expenses and our management and other personnel needing to devote significant time to the FTC’s requests.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fail to comply, or are alleged to be in noncompliance with the consent order, we could be subject to additional regulatory or governmental investigations or civil actions, which may result in significant monetary fines, judgments or other penalties that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and may in the future be, subject to securities litigation, which is expensive and could divert management attention.</w:t>
      </w:r>
    </w:p>
    <w:p>
      <w:pPr>
        <w:pStyle w:val="TextBody"/>
        <w:bidi w:val="0"/>
        <w:spacing w:lineRule="auto" w:line="268" w:before="240" w:after="283"/>
        <w:ind w:left="0" w:right="0" w:firstLine="450"/>
        <w:jc w:val="left"/>
        <w:rPr/>
      </w:pPr>
      <w:r>
        <w:rPr>
          <w:rFonts w:ascii="Times New Roman;serif" w:hAnsi="Times New Roman;serif"/>
          <w:b w:val="false"/>
          <w:color w:val="000000"/>
          <w:sz w:val="20"/>
        </w:rPr>
        <w:t>The market price of our common stock has been, and may continue to be, volatile. In addition, the stock markets have experienced extreme price and volume fluctuations that have affected and continue to affect the market prices of equity securities of many technology companies. Companies that have experienced volatility in the market price of their stock have been subject to securities class action litigation. We are currently, and may in the future be, the target of this type of litigation. For example, securities litigation claims related to our pricing algorithm and other shareholder derivative matters were filed against us and certain of our current and former officers and directors in 2022 and 2023. See “</w:t>
      </w:r>
      <w:r>
        <w:rPr>
          <w:rFonts w:ascii="Times New Roman;serif" w:hAnsi="Times New Roman;serif"/>
          <w:b w:val="false"/>
          <w:i/>
          <w:color w:val="000000"/>
          <w:sz w:val="20"/>
        </w:rPr>
        <w:t>Part II – Item 8. Financial Statements and Supplementary Data – Notes to Consolidated Financial Statements – Note 19. Commitments and Contingencies</w:t>
      </w:r>
      <w:r>
        <w:rPr>
          <w:color w:val="000000"/>
        </w:rPr>
        <w:t xml:space="preserve">” </w:t>
      </w:r>
      <w:r>
        <w:rPr>
          <w:rFonts w:ascii="Times New Roman;serif" w:hAnsi="Times New Roman;serif"/>
          <w:b w:val="false"/>
          <w:color w:val="000000"/>
          <w:sz w:val="20"/>
        </w:rPr>
        <w:t>for additional information regarding the securities litigation claims against 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Litigation is inherently uncertain and adverse rulings could occur, including monetary damages. An unfavorable outcome or settlement may result in a material adverse impact on our business, results of operations, and financial condition. In addition, regardless of the outcome, litigation could result in substantial costs and divert management’s attention from other business concerns, which could seriously harm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Reporting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assumptions, estimates, and business data to calculate our key performance indicators and other business metrics, and real or perceived inaccuracies in these metrics may harm our reputation and negatively affect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of our performance metrics are calculated using third-party applications or internal company data that have not been independently verified. While these numbers are based on what we believe to be reasonable calculations for the applicable period of measurement, there are inherent challenges in measuring such information. For example, our measurement of visits and unique users may be affected by applications that automatically contact our servers to access our mobile applications and websites with no user action involved, and this activity can cause our system to count the user associated with such a device as a unique user or as a visit on the day such contact occurs. In addition, our measure of certain metrics may differ from estimates published by third parties or from similarly-titled metrics of our competitors due to differences in methodology and as a result our results may not be comparable to our competitors.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results of operations and financial condition are subject to management’s accounting judgments and estimates, as well as changes in accounting policies.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and financial condition. Generally accepted accounting principles in the United States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management is required to evaluate the effectiveness of our internal control over financial reporting. If we are unable to maintain effective internal control over financial reporting, investors may lose confidence in the accuracy of our financial reports.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auditor is required to deliver an attestation report on the effectiveness of our disclosure controls and internal control over financial reporting. An adverse report may be issued in the event our auditor is not satisfied with the level at which our controls are documented, designed or operating.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When evaluating our internal control over financial reporting, we have identified in the past, and may identify in the future, material weaknesses in our internal control over financial reporting. If we identify any material weaknesses in our internal control over financial reporting, are unable to comply with the requirements of Section 404 or assert that our internal control over financial reporting is ineffective, or if our auditor is unable to express an opinion as to the effectiveness of our internal control over financial reporting, we could fail to meet our reporting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our internal control over financial reporting will not prevent or detect all errors and fraud. Because of the inherent limitations in all control systems, no evaluation can provide absolute assurance that misstatements due to error or fraud will not occur or that all control issues and instances of fraud will be detected.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there are material weaknesses or failures in our ability to meet any of the requirements related to the maintenance and reporting of our internal control, investors may lose confidence in the accuracy and completeness of our financial reports and that could cause the price of our common stock to decline. In addition, we could become subject to investigations by the applicable stock exchange, the SEC or other regulatory authorities, which could require additional management attention and which could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obligations associated with being a public company require significant resources and management attention, and we have and will continue to incur increased costs as a result of being a public company.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incur costs as a result of operating as a public company, and our management devotes substantial time to our compliance initiatives. As a public company, we are subject to the reporting and other requirements of the Exchange Act, the Sarbanes-Oxley Act, and the Dodd-Frank Wall Street Reform and Consumer Protection Act, as well as rules adopted, and to be adopted, by the SEC and Nasdaq. These rules and regulations result in legal and financial compliance expenses that are costly and our management and other personnel will continue to need to devote a substantial amount of time to these compliance initiatives. The increased costs are expected to increase our net loss in the near term. For instance, while we have already incurred substantial expenses in obtaining director and officer liability insurance, these rules and regulations may make it more difficult and more expensive for us to obtain director and officer liability insurance in the future,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(the “Board”), our Board committees or as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subject to additional tax liabilities and our ability to use our net operating loss carryforwards and other tax attributes may be limited in connection with past or future ownership changes.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federal and state income and non-income taxes in the United States, and foreign income and non-income taxes in Canada and India. Tax laws, regulations, and administrative practices in various jurisdictions may be subject to significant change, with or without notice, due to economic, political, and other conditions, and significant judgment is required in evaluating and estimating these taxes. Our effective tax rates could be affected by numerous factors, such as entry into new businesses and geographies, changes to our existing business and operations, acquisitions and investments and how they are financed, changes in our stock price, changes in our deferred tax assets and liabilities and their valuation, and changes in the relevant tax, accounting, and other laws, regulations, administrative practices, principles and interpretations. We are required to take positions regarding the interpretation of complex statutory and regulatory tax rules and on valuation matters that are subject to uncertainty, and the U.S. Internal Revenue Service (“IRS”) or other tax authorities may challenge the positions that we take.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incurred losses during our history, and we may not achieve or maintain profitability in the future. To the extent that we continue to generate taxable losses, unused losses will carry forward to offset future taxable income, if any, until such unused losses expire, if at all. As of December 31, 2025, we had federal and state net operating loss (“NOL”) carryforwards of $3.0 billion and $2.4 billion, respectively, a portion of which were generated in taxable years beginning on or before December 31, 2017. Under the Tax Cuts and Jobs Act of 2017, as modified by the CARES Act, U.S. federal net operating loss carryforwards generated in taxable years beginning after December 31, 2017, may be carried forward indefinitely, but the deductibility of such net operating loss carryforwards in taxable years beginning after December 31, 2020, is limited to 80% of taxable income.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net operating loss carryforwards are subject to review and possible adjustment by the IRS, and state tax authorities. In addition, under Sections 382 and 383 of the Internal Revenue Code of 1986, as amended (the “Code”), our federal net operating loss carryforwards and other tax attributes may become subject to an annual limitation in the event of certain cumulative changes in our ownership that constitute an “ownership change” pursuant to Section 382 of the Code.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potential changes in connection with past or future transactions, some of which are out of our control. Similar rules may apply under state tax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tax laws or tax rulings could materially affect our business, results of operations,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tax regimes we are subject to or operate under, including income and non-income (including indirect) taxes, may be subject to significant change. Changes in tax laws or tax rulings, changes in interpretations of existing laws, or new tax laws, including those supported by the current U.S. presidential administration related to housing policy could materially adversely affect our results of operations and financial condition. For example, the United States government may enact laws providing home seller tax incentives that may not be available to sellers with whom we transact, or enact further significant changes to the taxation of business entities including, among others, a change in the corporate income tax rate, the imposition of minimum taxes or surtaxes on certain types of income or significant changes to the taxation of income derived from international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taxes in the United States under federal, state and local jurisdictions in which we operate. The governing tax laws and applicable tax rates vary by jurisdiction and are subject to interpretation and change due to macroeconomic, political or other factors. We may be subject to examination in the future by federal, state, local, and non-U.S.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material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imposed a one-percent non-deductible excise tax on repurchases of stock that are made by U.S. publicly traded corporations on or after January 1, 2023, which may affect any future share repurchases we undertake. In addition, on July 4, 2025, the OBBBA enacted a number of changes to the Code, including the restoration of immediate recognition of domestic research and development expenditures for tax years beginning after December 31, 2024 and the reinstatement of 100% bonus depreciation for qualifying property acquired after January 19, 2025.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require additional capital to pursue our business objectives and respond to business opportunities, challenges, or unforeseen circumstances, and we cannot be sure that additional financing will be available.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require additional capital and debt financing to pursue our business objectives and respond to business opportunities, challenges, or unforeseen circumstances, including to increase our marketing expenditures to build and maintain our inventory of homes, develop new products or services or further improve existing products and services, improve our brand awareness, enhance our operating infrastructure and acquire complementary businesses and technologies. During past economic and housing downturns and at the onset of the COVID-19 pandemic, credit markets constricted and reduced sources of liquidity. In addition, throughout 2022 and 2023, significant increases in interest rates, supply chain issues, and higher inflation increased concerns that the economy may enter into a recession. Such a recessionary environment or economic uncertainty may also result in reduced sources of financing and liquidity, among other adverse impacts for our business, results of operations,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cash on hand and cash generated from operations is not sufficient to meet our cash and liquidity needs, we may need to seek additional capital and engage in equity or debt financings to secure funds. However, additional funds may not be available when we need them on terms that are acceptable to us, or at all. In addition, any financing that we secure in the future could involve restrictive covenants which may make it more difficult for us to obtain additional capital and to pursue business opportunities and could reduce our operational flexibility.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ability to obtain financing will depend, among other things, on our product development efforts, business plans, operating performance, action or performance of competitors, and condition of the capital markets and housing markets at the time we seek financing. Volatility in the credit markets may also have an adverse effect on our ability to obtain debt financing. If we raise additional funds through the issuance of equity, equity-linked or debt securities, those securities may have rights, preferences, or privileges senior to the rights of our common stock, or may require us to agree to unfavorable terms, and our existing stockholders may experience significant dilution.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new financing sources are required, but are insufficient or unavailable,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utilize a significant amount of debt and financing arrangements in the operation of our business. Our cash flows and operating results could be adversely affected by required payments of debt or related interest and other risks of our debt financing.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$1.1 billion of non-recourse asset-backed debt. Our leverage could have meaningful consequences to us, including increasing our vulnerability to economic downturns, limiting our ability to withstand competitive pressures, or reducing our flexibility to respond to changing business and economic conditions. We are also subject to general risks associated with debt financing, including (1) our cash flow may not be sufficient to satisfy required payments of principal and interest; (2) we may not be able to refinance our existing indebtedness or refinancing terms may be less favorable to us than the terms of our existing debt; (3) debt service obligations or facility prepayments could reduce funds available for capital investment and general corporate purposes; (4) the conversion of our outstanding convertible notes and their corresponding settlement in whole or in part in cash could adversely affect our liquidity; and (5) any default on our indebtedness could result in acceleration of the indebtedness and foreclosure on the homes collateralizing that indebtedness, with our attendant loss of any prospective income and equity value from such property. Any of these risks could place strains on our cash flows, reduce our ability to grow, and adversely affect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have the ability to raise the funds necessary for cash settlement upon conversion of the Convertible Senior Notes (as defined below) or to repurchase the Convertible Senior Notes for cash following a fundamental change or, in respect of the 2030 Notes, to repurchase the 2030 Notes if the holders of the 2030 Notes require so on May 15, 2028, and our future debt may contain limitations on our ability to pay cash upon conversion of the Convertible Senior Notes or to repurchase the Convertible Senior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Holders of our 0.25% convertible senior notes due 2026 (the “2026 Notes”) or our 7.00% convertible senior notes due 2030 (the “2030 Notes” and together with the 2026 Notes, the “Convertible Senior Notes”) have the right to convert their Convertible Senior Notes: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during any calendar quarter, if the last reported sale price of our common stock exceeds 130% of the conversion price for each of at least twenty business days (whether or not consecutive) during the thirty consecutive trading days ending on, and including, the last trading day of the immediately preceding calendar quarter;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during the five consecutive business day period after any 10 consecutive trading day period if the trading price per $1,000 principal amount of the applicable Convertible Senior Notes for each trading day of the measurement period was less than 98% of the product of the last reported sale price of our common stock and the conversion rate of the notes on each such trading day;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upon the occurrence of specified corporate events;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call any or all of the Convertible Senior Notes for redemption, at any time prior to the close of business on the scheduled trading day prior to the redemption date.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one or more holders elect to convert their Convertible Senior Notes, such conversions of the Convertible Senior Notes will be settled in cash up to at least the principal amount being converted. During the quarter ended December 31, 2025, the last reported sale price of our common stock exceeded 130% of the conversion price of our 2030 Notes for the requisite period described above. As a result, the holders of our 2030 Notes are entitled to convert such 2030 Notes pursuant to the terms of the indenture governing the 2030 Notes at their option at any time during the quarter ending March 31, 2026. If the holders of our 2030 Notes elect to convert their 2030 Notes and we elect to satisfy our conversion obligation by fully or partially settling through the payment of cash, our liquidity may be adversely affected. If the holders of our 2030 Notes elect to convert their notes and we elect to partially satisfy our conversion obligation by delivering shares of our common stock, there may be a substantial dilutive effect on our common stock. Even if holders do not elect to convert their 2030 Notes, we are required under applicable accounting rules to reclassify all or a portion of the outstanding principal of the 2030 Notes as a current rather than long-term liability, which has had and may continue to result in a material reduction of our net working capital.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subject to limited exceptions, holders of the Convertible Senior Notes have the right to require us to repurchase their 2026 Notes or 2030 Notes, respectively, upon the occurrence of a fundamental change at a cash repurchase price generally equal to 100% of the principal amount of the applicable Convertible Senior Notes to be repurchased, plus accrued and unpaid interest, if any, to, but excluding, the fundamental change repurchase date. Further, holders of the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Notes have the right to require us to repurchase all or part of their 2030 Notes on May 15, 2028 at a cash repurchase price equal to 100% of the principal amount of their 2030 Notes to be repurchased, plus accrued and unpaid interest, if any, to, but excluding, the repurchase date.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However, we may not have enough available cash or be able to obtain financing at the time we are required to make repurchases of Convertible Senior Notes surrendered therefor or pay the cash amounts due upon conversion. In addition, our ability to repurchase the Convertible Senior Notes or to pay cash upon conversions of the Convertible Senior Notes may be limited by applicable law, by regulatory authorities or by agreements governing our future indebtedness. Our failure to repurchase the Convertible Senior Notes at a time when such repurchase is required by the indenture governing the Convertible Senior Notes or to pay the cash amounts due upon future conversions of the Convertible Senior Notes as required by such indenture would constitute a default under such indenture. A default under the indenture governing the Convertible Senior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Senior Notes or make cash payments upon conversions thereof.</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2020, the Financial Accounting Standards Board issued Accounting Standards Update (“ASU”) 2020-06, Debt — Debt with Conversion and Other Options (Subtopic 470-20) and Derivatives and Hedging — Contracts in Entity’s Own Equity (Subtopic 815-40): Accounting for Convertible Instruments and Contracts in an Entity’s Own Equity (“ASU 2020-06”), which, among other things, simplifies the accounting for certain convertible instruments. We early adopted the provisions of ASU 2020-06 effective January 1, 2021.</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ASU 2020-06, the Convertible Senior Notes are reflected as a liability on our consolidated balance sheets, with the initial carrying amount equal to the principal amount of the Convertible Senior Notes, net of any debt discount and debt issuance costs. The issuance costs were treated as a debt discount for accounting purposes, which will be amortized into interest expense over the term of the Convertible Senior Notes. As a result of this amortization, the interest expense that we expect to recognize for the Convertible Senior Notes for accounting purposes will be greater than the cash interest payments we will pay on the Convertible Senior Notes, which will result in lower reported earnings.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shares underlying the Convertible Senior Notes are reflected in our diluted earnings per share using the “if-converted” method. Under that method, if the conversion value of the Convertible Senior Notes exceeds their principal amount for a reporting period, then we calculate our diluted earnings per share assuming that all of the Convertible Senior Notes were converted at the beginning of the reporting period and that we issued shares of our common stock to settle the excess. However, if reflecting the Convertible Senior Notes in diluted earnings per share in this manner is anti-dilutive, or if the conversion value of the Convertible Senior Notes does not exceed their principal amount for a reporting period, then the shares underlying the Convertible Senior Notes are not reflected in our diluted earnings per share. The application of the if-converted method may reduce our reported diluted earnings per share, and accounting standards may change in the future in a manner that may adversely affect our diluted earnings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 homes held for longer periods may not be eligible for financing or may receive less financing under our debt facilities than homes held for shorter periods.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our asset-backed financing facilities, the amount we are permitted to borrow against a given property generally begins to step down after we have owned that property for approximately six months, and ultimately steps down to zero after 12 months. These holding time-based reductions in permitted borrowing amount may result in a requirement to pledge additional properties or cash as collateral or, in some cases, to repay outstanding debt financing with respect to a given property prior to our sale of that property. If we were to hold a significant portion of our homes in inventory for more than six months, this could result in a material reduction in the amount of debt financing available for those homes and a corresponding reduction in our unrestricted cash balances. These considerations could also incentivize us to sell inventory homes for prices that do not allow us to meet our margin targets or to fully cover our costs to repay our borrowings with respect to those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agreements with third parties to finance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entered into debt agreements with various counterparties to provide capital for the growth and operation of our businesses, including to finance our purchase and renovation of homes. If we fail to maintain adequate relationships with potential financial sources or we elect to prepay or we are unable to renew, refinance or extend our existing debt arrangements on favorable terms or at all, we may be unable to maintain sufficient inventory, which would adversely affect our business and results of operations. Obtaining new or replacement funding arrangements may be at higher interest rates or other less favorable terms.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our financing facilities are not fully committed, meaning the applicable lender is not obligated to advance new loan funds if they choose not to do so. In addition, the availability of committed financing is typically subject to us meeting certain conditions, which may include financial or collateral performance tests or metrics. As of December 31, 2025, we satisfied the financial and collateral performance-based conditions to borrowing under our debt facilities. If we are unable to access funds from either our committed or not fully committed facilities, we may not be able to sufficiently fund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financing sources are not required to extend the maturities of our financing arrangements and if a financing source is unable or unwilling to extend financing, and other financing sources are unable or unwilling to make or increase their financing commitments, then we will be required to repay the outstanding balance of the financing on the related maturity date. If we are unable to pay the outstanding balance of our debt obligations at maturity, the financing sources generally have the right to foreclose on the homes and other collateral securing that debt and to charge higher “default rates” of interest until the outstanding obligations are paid in full.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each of our mezzanine term debt facilities is associated with and subordinated to one or more of our senior credit facilities. Our mezzanine term debt facilities have initial terms that may be significantly longer than the related senior facilities and often contain terms that make it financially unattractive to prepay borrowings under those term debt facilities, including certain “make-whole” payments and other prepayment penalties. If we are unable to renew or extend the terms of our existing senior facilities, we may not be able to terminate or prepay the related mezzanine term debt facilities without incurring significant financial costs. Our senior term debt facilities also generally include “make-whole” payments or other prepayment penalties that make it financially unattractive to prepay borrowings under those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realized, any of these financing risks could negatively impact our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intend to rely on proceeds from the sale of financed homes to repay amounts owed under our property financing facilities, but such proceeds may not be available or may be insufficient to repay the amounts when they become due.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our senior revolving credit facilities, we typically are required to repay amounts owed with respect to a financed home upon the sale of that home. There is no assurance such sale proceeds will fully cover the amounts owed. Our senior revolving credit facilities commonly have initial terms of two years or less. It may be the case that not all homes securing these arrangements will be sold on or before the maturity dates of such financing arrangements, which would mean that sale proceeds would not be available to pay the amounts due at maturity. We may also be required to repay amounts owed with respect to a financed home prior to the sale of that home and prior to maturity of the related financing facility, typically due to the home having been held in our inventory for an extended period of time or, less commonly, if other unforeseen issues with the home arise during our holding period. In these situations, we may use cash on hand to repay the amounts owed or contribute other homes as additional collateral. To the extent we do not have sufficient cash or substitute collateral or are unable to draw on other financing facilities to make the required repayments, which could occur if a significant amount of our debt were to become due suddenly and unexpectedly, we would be in default under the related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Covenants in our debt agreements may restrict our borrowing capacity and/or operating activities and adversely affect our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existing debt agreements contain, and future debt agreements may contain, various financial and collateral performance covenants. These covenants may limit our operational flexibility or restrict our ability to engage in transactions that we believe would otherwise be in the best interests of our shareholders. If we breach these covenants, the amounts we are able to borrow against our inventory homes may be reduced and/or our lenders may be entitled to apply any excess cash proceeds from the sale of our homes that would normally be available to us in the absence of the covenant breach to the repayment of principal and other amounts due. In certain cases, we could be required to repay all or a portion of the relevant debt immediately, even in the absence of a payment default. The occurrence of these events would have an adverse impact on our financial condition and results of operations and such impact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borrowers under the debt facilities we use to finance the purchase and renovation of homes are special purpose entity (“SPE”) subsidiaries of Opendoor. While our SPEs’ lenders’ recourse in most situations following an event of default is only to the applicable SPE or its assets, we have provided limited guarantees for certain of the SPEs’ obligations in situations involving “bad acts” by an Opendoor entity and certain other limited circumstances. To the extent a guaranty obligation is triggered, we may become obligated to pay all or a portion of the amounts owed by our SPEs to their lenders.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debt facilities contain cross defaults and similar provisions that could cause us to be in default under multiple debt facilities or otherwise lose access to financing for new homes and excess proceeds from sales of homes in the event we default under a single facility.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certain events of default or related enforcement or foreclosure events occur under one or more of our asset-backed senior debt facilities, this may trigger an event of default under any related mezzanine term debt facility and/or result in us losing access to financing through the mezzanine term debt facility or to excess proceeds from sales of homes that would otherwise be available to us. Similarly, foreclosure by the lenders under a mezzanine term debt facility would trigger an event of default under the related senior facilities and result in us losing access to financing through those senior facilities and to excess proceeds from sales of homes that would otherwise be available to us. In addition, our asset-backed senior debt facilities and mezzanine term debt facilities generally contain cross defaults to indebtedness and similar obligations of Opendoor Labs Inc., subject to varying minimum dollar thresholds. It is possible our debt facilities could include similar cross defaults to indebtedness of Opendoor Technologies in the future. The foregoing considerations significantly increase the likelihood that a default or related enforcement or foreclosure event under one or more of our debt facilities would result in adverse consequences for our other debt facilities.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hedge effectively against interest rate changes may adversely affect our results of operations.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While borrowings under our term debt facilities accrue interest at a fixed rate, borrowings under our senior revolving credit facilities bear interest at variable rates and expose us to interest rate risk. Interest rates have increased in the past and may increase in the future, in which case our debt service obligations on the variable rate indebtedness would increase and our earnings and cash flows would correspondingly decrease. Increased interest costs could also reduce the amount of debt financing that our homes inventory can support. See “</w:t>
      </w:r>
      <w:r>
        <w:rPr>
          <w:rFonts w:ascii="Times New Roman;serif" w:hAnsi="Times New Roman;serif"/>
          <w:b w:val="false"/>
          <w:i/>
          <w:color w:val="000000"/>
          <w:sz w:val="20"/>
        </w:rPr>
        <w:t>Part II – Item 8. Financial Statements and Supplementary Data – Notes to Consolidated Financial Statements – Note 5. Credit Facilities, Long-Term Debt, and Convertible Notes</w:t>
      </w:r>
      <w:r>
        <w:rPr>
          <w:color w:val="000000"/>
        </w:rPr>
        <w:t xml:space="preserve">” </w:t>
      </w:r>
      <w:r>
        <w:rPr>
          <w:rFonts w:ascii="Times New Roman;serif" w:hAnsi="Times New Roman;serif"/>
          <w:b w:val="false"/>
          <w:color w:val="000000"/>
          <w:sz w:val="20"/>
        </w:rPr>
        <w:t>for additional information regarding our debt and financing arrangements.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our floating rate debt, we may seek to obtain interest rate protection in the form of swap agreements, interest rate cap contracts or other derivatives or instruments to hedge against the possible negative effects of interest rate increases. There is no assurance that we will be able to obtain any such interest rate hedging arrangements on attractive terms or at all. Even if we are successful in obtaining interest rate hedges, we cannot assure you that any hedging will adequately relieve the adverse effects of interest rate increases or that counterparties under these agreements will honor their obligations thereunder.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use derivatives and other instruments to reduce our exposure to interest rate fluctuations and those derivatives and other instruments may not prove to be effective.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use derivatives or other instruments to reduce our exposure to adverse changes in interest rates. Hedging interest rate risk is a complex process, requiring sophisticated models and constant monitoring. Due to interest rate fluctuations, hedged assets and liabilities will appreciate or depreciate in market value. The effect of this unrealized appreciation or depreciation will generally be offset by income or loss on the derivative instruments that are linked to the hedged assets and liabilities. If we engage in derivative transactions, we will be exposed to credit and market risk. If the counterparty fails to perform, credit risk exists to the extent of the fair value gain in the derivative. Market risk exists to the extent that interest rates change in ways that are significantly different from what we expected when we entered into the derivative transaction. Our hedging activity, if any, may fail to provide adequate coverage for interest rate exposure due to market volatility, hedging instruments that do not directly correlate with the interest rate risk exposure being hedged or counterparty defaults on obligations.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Failures at financial institutions at which we deposit funds could adversely affect 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deposit substantial funds in various financial institutions in excess of insured deposit limits. In the event that one or more of these financial institutions fail, there is no guarantee that we could recover the deposited funds in excess of federal deposit insurance. Under these circumstances, our losses could have a material adverse effect on our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Additional Risks Related to Ownership of Our Common Stock and 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price of our common stock and Warrants (as defined herein) have been and may in the future be volatile.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price of our common stock and Warrants have fluctuated and may fluctuate in the future due to a variety of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industries in which we and our customers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involving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variations in our operating performance and the performance of our competitors in general;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publication of research reports by securities analysts or other third parties about us or our competitors or our industry, which may be inaccurate or unfavorable;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issuances of shares of our common stock upon conversion of our Notes and exercise of our Warrants;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speculation by investors and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short sellers manipulating our stock, resulting in a price decrease;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short squeezes” and “meme” trading of our common stock or the common equity of companies in our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being subject to seasonality with greater demand and home price appreciation from home buyers in the spring and summer, and typically weaker demand and lower home price appreciation in late fall and winter;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public’s reaction to our press releases, our other public announcements and our filings with the SEC;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actions by stockholders, including the sale of their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additions and departures of key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commencement of, or involvement in, litigation involving our Company;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and political conditions, such as interest rate increases, including the recent significant increases in 2022 and 2023, higher inflation and decreased consumer confidence, recessions, the future impacts of pandemics or epidemics, local and national elections, fuel prices, international currency fluctuations, corruption, inflation, political instability, and acts of war or terrorism.</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interest in our common stock from retail and other individual investors, for reasons that are unrelated to our underlying business or macroeconomic or industry fundamentals, could result in increased volatility in the market price of our common stock. For instance, in July 2025, the bid price of our common stock fluctuated between a low of $0.5267 and a high of $4.97, with significant increases in volume over our typical daily trading volume. The recent market volatility and trading patterns we have experienced may be related to, among other factors, strong and atypical retail investor interest, including on social media and online forums, and create several risks for investors,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our common stock and Warrants have experienced and may continue to experience rapid and substantial increases or decreases that are unrelated to our operating performance, macro or industry fundamentals, and substantial increases may be inconsistent with the risks and uncertainties that we continue to face;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factors in the public trading market for our securities may include the sentiment of retail investors (including as may be expressed on financial trading and other social media sites and online forums), the direct access by retail investors to broadly available trading platforms, the amount and status of short interest in our securities, access to margin debt, trading in options and other derivatives on our common stock and any related hedging and other trading factors;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received, and may continue to receive, media coverage that is published or otherwise disseminated by third parties, including blogs, articles, message boards and social and other media, that may not be attributable to the Company and may not be reliable or accurate;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 the extent volatility in our common stock is caused by a “short squeeze” in which coordinated trading activity causes a spike in the market price of our common stock as traders with a short position make market purchases to avoid or to mitigate potential losses, investors purchase at inflated prices unrelated to our financial performance or prospects, and may thereafter suffer substantial losses as prices decline once the level of short-covering purchases has abated;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the market price of our securities declines, investors may be unable to resell shares of our common stock at or above the price at which their investment was made. Our securities may continue to fluctuate or decline significantly in the future, which may result in substantial losses.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stock markets in recent years have experienced extreme price and volume fluctuations that have affected and continue to affect the market prices of the equity securities of many companies. These fluctuations often have been unrelated or disproportionate to the operating performance of those companies. These broad market and industry fluctuations, as well as general economic, political and market conditions such as recessions, changes to federal monetary policy, interest rates or international currency fluctuations, may negatively impact the market price of our common stock. In the past, companies that have experienced volatility in the market price of their stock have been subject to securities class action litigation. We have in the past been and are currently the target of this type of litigation, and we may continue to be the target of this type of litigation in the future. Past, current, and future securities litigation against us could result in substantial costs and divert management's attention from other business concerns, which could harm our business, results of operations or financial condition.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if the closing price of our common stock remains below $1.00 for 30 consecutive trading days, we have in the past and may in the future receive a notice from Nasdaq indicating that we are not in compliance with Nasdaq’s minimum bid price rule. There can be no assurance that our common stock will continue to close at or above the $1.00 per share minimum bid price as required by Nasdaq, or that we will otherwise meet the requirements of Nasdaq for continued inclusion for listing on The Nasdaq Global Select Market. If we are unable to remain listed on Nasdaq or another national securities exchange, we and our stockholders could face significant material adverse consequences, including limited availability of market quotations and analyst coverage for our common stock, and reduced liquidity for the trading of our securities. Additionally, any efforts to regain compliance with Nasdaq's listing standards in the future may result in increased expenses and our management and other personnel needing to devote significant time to the process. These market and industry factors may materially reduce the market price of our securities regardless of our operating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cash dividends for the foreseeable future.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to finance the further development and expansion of our business and do not intend to pay cash dividends in the foreseeable future. Any future determination to pay cash dividends will be at the discretion of our Board and will depend on our financial condition, results of operations, capital requirements, restrictions contained in future agreements and financing instruments, business prospects and such other factors as our Board deems relevant.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issue additional shares of our common stock upon the exercise of Warrants (as defined below), which may have a substantial dilutive effect on our common stock.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Holders of our warrants issued by us on November 21, 2025, as a distribution to all holders of the shares of our common stock and the 2030 Notes (the “Warrants”), have the right to purchase shares of our common stock at the applicable exercise price at any time prior to expiry, which is subject to automatic acceleration upon satisfaction of certain conditions related to the price of our common stock. Accordingly, we expect that holders of the Warrants will exercise their Warrants prior to expiry if the price of our common stock at such time exceeds the applicable exercise price of the Warrants, in which case we will be issuing shares of our common stock to such holders at a price that is lower than the price of our common stock at such time. In addition, we have the right to change the exercise method of the Warrants from cash exercise to net exercise, in which case we will not receive any proceeds from such exercise of the Warrants. These issuances of our common stock resulting from the exercise of the Warrants may have a substantial dilutive effect on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Warrants are subject to a number of terms and processes that may, among other things, impact or cause you to lose the value of the Warrants.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Warrants include terms and provisions that can impact a holder’s ability to exercise a Warrant, recover the value of an investment in our shares of common stock upon exercise of a Warrant, receive shares upon exercise of a Warrant, among others. For example: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holder of our Warrants may sustain financial other loss following exercise if the value of our shares of common stock declines;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a holder of our Warrants exercises their Warrants during a net exercise period and the net exercise formula results in zero or a negative number of shares, such holder would not receive any shares upon exercise of the Warrant and the Warrant will cease to be outstanding;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Warrants do not provide for automatic exercise, even if the value of shares of our common stock receivable upon exercise of a Warrant exceeds the warrant exercise price, and any Warrant held that is not exercised (including due to failure to pay the warrant exercise price when due) during the exercise period will expire unexercised, meaning the Warrants will no longer exist, and the holders of Warrants will also not receive any shares of our common stock nor other value in connection with such Warrants;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an early expiration price condition is triggered with respect to any series of Warrants, the expiration date for such series of Warrants will automatically accelerate to an earlier expiration date, unless we set an alternate expiration date for such series of Warrants;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settlement process for the receipt of shares of common stock following the exercise of a Warrant is conducted by outside parties and broker-dealers and is therefore outside of our control and may take several business days, during which time party exercising the Warrants could experience a significant loss of investment;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general, the holder of a Warrant will have rights with respect to our shares of common stock only if such holder receives shares of our common stock upon exercising the Warrants and only as of the date when such holder become a record owner of the shares of our common stock upon such exercise.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issuance of additional warrants may adversely affect the market price of our Warrants and the market price of our common stock, but there may be no adjustment to the warrant exercise rate for such issuances.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Without the consent of any holder of any Warrants, we may issue additional warrants with the same terms as the Warrants distributed in November 2025. We may issue such additional warrants through a sale or another distribution to holders of our common stock and other holders of our securities such as the Notes and Warrants. Any dividend or distribution by us of any rights, options or warrants to purchase shares of our common stock will not result in an adjustment to the warrant exercise rate for any Warrant. The issuance, sale or distribution of substantial amounts of such additional warrants, or the perception that such issuances, sale or distribution may occur, could adversely affect the trading price of the Warrants and the market price of our common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Catastrophic events may disrupt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Natural disasters or other catastrophic events may cause damage or disruption to our operations, real estate commerce, and the global economy, and thus could harm our business. For example, the COVID-19 pandemic significantly and adversely affected our business in 2020 when governmental authorities put in place limitations on in-person activities related to the sale of residential real estate. As a result of these restrictions and safety concerns for our customers and employees, we temporarily suspended home acquisitions and sold down most home inventory before resuming home acquisitions later in the year. We also have a large employee presence in San Francisco, California, a region that contains active earthquake zones and increasingly frequent wildfires. In addition, properties located in parts of Florida, portions of North Carolina, Texas, and portions of California are more susceptible to certain hazards (such as floods, hurricanes, hail, extreme temperatures, wildfires, or other severe weather events which may become more frequent or severe as a result of climate change) than properties in other parts of the country.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major earthquake, hurricane, windstorm, tornado, flood, fire, or catastrophic event such as pandemic, epidemic, power loss, telecommunications failure, cyber-attack, war, or terrorist attack, we may be unable to continue our operations and may endure reputational harm, delays in developing our platform and solutions, breaches of data security and loss of critical data, all of which could harm our business, results of operations and financial condition. Climate change is expected to adversely impact the frequency and/or intensity of such events, as well as contribute to various chronic changes in the physical environment that may also impact our operations, such as sea-level rise and changes to temperature or precipitation patterns. Furthermore, these sorts of catastrophic events may cause disruption on both resale and acquisition side as we may not be able to transact on real estate. For example, homes that we own may be damaged and disruptions to infrastructure may mean our contractors are unable to perform the necessary home repairs in a timely manner. Closures of local recording offices or other governmental offices in charge of real property records, including tax or lien-related records, would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ability to conduct operations in the affected geographies. Any of these delays will likely result in extended hold times and increased costs. Also, the insurance we maintain would likely not be adequate to cover our losses resulting from disasters or other business interruptions.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third-party providers fail to protect Confidential Information, including Personal Information, and/or experience cybersecurity incidents, there may be damage to our brand and reputation, material financial penalties, and legal liability, which would materially adversely affect our business, results of operations,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We and certain of our third-party providers collect, maintain and process data about customers, employees, business partners and others, including Personal Information, as well as proprietary information belonging to our business such as trade secrets (collectively, “Confidential Information”). The evolution of IT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We similarly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attacks developed or enhanced using artificial intelligence, and as a result of malicious code embedded in open-source software, or misconfigurations, bugs or other vulnerabilities in commercial software that is integrated into our (or our suppliers’ or service providers’) IT Systems, products or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attempts and incidents and other security incidents of varying degrees and expect to continue to experience such incidents in the future. Successful breaches, employee malfeasance, or human or technological error could result in, for example, unauthorized access to, disclosure, modification, misuse, loss, or destruction of company, customer, or other third-party data or systems; theft of sensitive, regulated, or Confidential Information and intellectual property; the loss of access to critical data or systems through ransomware, destructive attacks or other means; and business delays, service or system disruptions or denials of service. There can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In other situations, vulnerabilities persist even after we have issued security patches because our customers may fail to apply patches or update their systems to newer software versions. If attackers are able to exploit critical vulnerabilities before patches are installed or mitigating measures are implemented, significant compromises could impact our IT Systems and Confidential Information as well as our customers’ systems and data. In addition, the controls and other preventative actions that we have taken to prevent, detect, and investigate these incidents may vary in maturity and are not always effective. Further, we may not be able to react in a timely manner, or our remediation efforts following a cybersecurity incident may not be successful.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do not know whether our current practices will be deemed sufficient under applicable laws or other cybersecurity requirements, or whether new regulatory requirements might make our current practices insufficient. If there is a breach of our, or our third party vendors’, IT Systems and we know or suspect that certain Personal Information has been accessed, or used inappropriately, we may need to notify the affected individual and may be subject to significant litigation, fines, and other penalties. Further, under certain regulatory schemes, we may be liable for statutory damages on a per breached record basis, irrespective of any actual damages or harm to the individual. In the event of a breach we could face government scrutiny or consumer class actions alleging statutory damages amounting to hundreds of millions, and possibly billions of dollars.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risk of cybersecurity incidents directed at us or our third-party vendors includes uncoordinated individual attempts to gain unauthorized access to our IT Systems and those of our vendors and our Confidential Information, as well as sophisticated and targeted measures known as advanced persistent threats. Cyberattacks are expected to accelerate on a global basis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IT Systems, Confidential Information or business. In addition, we face the risk of Confidential Information inadvertently leaking through human or technological errors. Cybersecurity incidents are also constantly evolving, increasing the difficulty of detecting and successfully defending against them.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we have acquired and may continue to acquire companies with cybersecurity vulnerabilities and/or unsophisticated security measures, which exposes us to significant cybersecurity, operational, and financial risks.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operations, products or services is expected to pose new or unknown cybersecurity risks and challenges.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rely on third parties and their security procedures for the secure storage, processing, maintenance, and transmission of Confidential Information that is critical to our operations. Cybersecurity incidents that impact us or our third-party providers, depending on their nature and scope, could potentially result in the misappropriation, destruction, corruption or unavailability of critical data and Confidential Information (our own or that of third parties, including Personal Information of our customers and employees) and the disruption of business operations. Any such compromises to our security, or that of our third-party vendors, could cause customers to lose trust and confidence in us and stop using our website and mobile applications. In addition, we may incur significant costs for remediation that may include liability for stolen assets or information, repair of system damage, and compensation to customers, employees, and business partners. We may also be subject to government enforcement proceedings and legal claims by private parties.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Any actual or alleged security breaches or alleged violations of federal or state laws or regulations relating to data privacy and security could result in mandated user notifications, litigation (including class action lawsuits), government investigations, significant fines, and expenditures; divert management’s attention from operations; deter people from using our platform; damage our brand and reputation; and materially adversely affect our business, results of operations, and financial condition. We also cannot guarantee that any costs and liabilities incurred in relation to an attack or incident will be covered by our existing insurance policies or that applicable insurance will be available to us in the future on economically reasonable terms or at all. Defending against claims or litigation based on any security breach or incident, regardless of their merit, will be costly and may cause reputational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See “</w:t>
      </w:r>
      <w:r>
        <w:rPr>
          <w:rFonts w:ascii="Times New Roman;serif" w:hAnsi="Times New Roman;serif"/>
          <w:b w:val="false"/>
          <w:i/>
          <w:color w:val="000000"/>
          <w:sz w:val="20"/>
        </w:rPr>
        <w:t>Part I – Item 1C. Cybersecurity</w:t>
      </w:r>
      <w:r>
        <w:rPr>
          <w:color w:val="000000"/>
        </w:rPr>
        <w:t xml:space="preserve">” </w:t>
      </w:r>
      <w:r>
        <w:rPr>
          <w:rFonts w:ascii="Times New Roman;serif" w:hAnsi="Times New Roman;serif"/>
          <w:b w:val="false"/>
          <w:color w:val="000000"/>
          <w:sz w:val="20"/>
        </w:rPr>
        <w:t>for additional information regarding our cybersecurity governance, risk management and strategy.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Internet law is evolving, and unfavorable changes to, or failure by us to comply with, these laws and regulations could adversely affect our business, results of operations, and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regulations and laws specifically governing the internet. The scope and interpretation of the laws that are or may be applicable to our business are often uncertain, subject to change, and may be conflicting. If we incur costs or liability as a result of unfavorable changes to these regulations or laws or our failure to comply therewith, our business, results of operations, and financial condition could be adversely affected. Any costs incurred to prevent or mitigate this potential liability could also harm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fraud detection processes and information security systems may not successfully detect all fraudulent activity by third parties aimed at our employees or customers, which could adversely affect our reputation and business results.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Third-party actors have attempted in the past, and may attempt in the future, to conduct fraudulent activity by engaging with our customers, particularly in our title insurance and escrow business. We make a large number of wire transfers in connection with loan and real estate closings and process sensitive personal data in connection with these transactions. We may not be able to detect and prevent all fraudulent activity on our mobile applications, websites, and internal systems. Similarly, the third parties we use to effectuate these transactions may fail to maintain adequate controls or systems to detect and prevent fraudulent activity. Fraudulent activity may result in litigation or government actions, for example, if individuals or regulators deem our fraud detection processes inadequate. Additionally, persistent or pervasive fraudulent activity may cause customers and real estate partners to lose trust in us and decrease or terminate their usage of our products, or could result in financial loss, thereby harming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risk management efforts may not be effective.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could incur substantial losses and our business operations could be disrupted if we are unable to effectively identify, manage, monitor, and mitigate financial risks, such as pricing risk, interest rate risk, liquidity risk, and other market-related risks, as well as operational and legal risks related to our business, assets, and liabilities. We also are subject to various laws, regulations and rules that are not industry specific, including employment laws related to employee hiring and termination practices,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Expansion of our business activities may also result in our being exposed to risks to which we have not previously been exposed or may increase our exposure to certain types of risks, and we may not effectively identify, manage, monitor, and mitigate these risks as our business activities change or increase.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from time to time involved in, or may in the future be subject to, claims, suits, government investigations, and other proceedings that may result in adverse outcomes.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from time to time involved in, or may in the future be subject to, claims, suits, government investigations, and proceedings arising from our business, including actions with respect to intellectual property, privacy, consumer protection, information security, our mortgage services, real estate, environmental, data protection or law enforcement matters, tax matters, labor and employment, and commercial claims, as well as actions involving content generated by our customers, shareholder derivative actions, purported class action lawsuits, and other matters. Such claims, suits, government investigations, and proceedings are inherently uncertain, and their results cannot be predicted with certainty. Regardless of the outcome, any such legal proceedings can have an adverse impact on us because of legal costs, diversion of management and other personnel, negative publicity and other factors. In addition, it is possible that a resolution of one or more such proceedings could result in reputational harm, liability, penalties, or sanctions, as well as judgments, consent decrees, or orders preventing us from offering certain features, functionalities, products, or services, or requiring a change in our business practices, products or technologies, which could in the future materially and adversely affect our business,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could be negatively impacted by corporate citizenship and ESG matters, different points of view regarding such matters, and/or our reporting of such matters.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Certain institutional, individual, and other investors, proxy advisory services, regulatory authorities, consumers, and other stakeholders are focused on ESG practices of companies. For example, various groups produce ESG scores or ratings based at least in part on a company’s ESG disclosures, and certain market participants, including institutional investors and capital providers, use such ratings to assess companies’ ESG profiles. Simultaneously, there are efforts by some stakeholders to reduce companies’ efforts on certain ESG-related matters. Both advocates and opponents to ESG matters are increasingly resorting to a range of activism forms, including media campaigns, shareholder proposals and litigation, to advance their perspectives. To the extent we are subject to such activism, it may require us to incur costs or otherwise adversely impact our business. There are also increasing and evolving regulatory expectations regarding ESG matters. For example California has passed legislation that requires reporting on climate related financial risks and greenhouse gas emissions, as well as disclosures regarding use of offsets and emissions reduction claims, some of which are currently subject to legal challenges. Similar legislation has been proposed elsewhere including in the state of New York, and other regulators or lawmakers may propose new climate or ESG-related regulations from time to time. Conversely, other jurisdictions have considered adopting laws seeking to limit the use of ESG initiatives in certain contexts. Compliance with various and potentially fragmented disclosure rules may be costly and subject us to criticism by regulators, investors, the media or other stakeholders for the accuracy, adequacy or completeness of potential ESG disclosures and could adversely impact our reputation and financial position.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look to respond to evolving standards for identifying, measuring, and reporting ESG information, our efforts may result in a significant increase in costs and may nevertheless not meet investor or other stakeholder expectations and evolving standards or regulatory requirements. For example, actions or statements that we may take based on expectations, assumptions, or third-party information that we currently believe to be reasonable may subsequently be determined to be erroneous or not in keeping with best practice. If we fail to, or are perceived to fail to, comply with or advance certain ESG initiatives (including the manner in which we complete such initiatives), we may be subject to various adverse impacts, including to our financial results, our reputation, our ability to attract or retain employees, our attractiveness as a service provider, investment, or business partner, or expose us to government enforcement actions, private litigation, and actions by stockholders or stakeholders. Additionally, many of our business partners and suppliers may be subject to similar expectations, which may augment or create additional risks, including risks that may not be known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developed and implemented a cybersecurity risk management program designed to protect the confidentiality, integrity, and availability of our critical systems and information. Our program is designed to align with relevant legal requirements and draws upon widely accepted security frameworks and practices. We take an integrated, organization-wide approach to evaluating and addressing cybersecurity risks, incorporating these considerations alongside other enterprise risks such as regulatory, financial, and operational concerns.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Key elements of our program include, but are not limited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processes designed to identify, assess, and prioritize cybersecurity threats to our critical systems and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technical controls and processes intended to detect and remediate weaknesses in our systems and software;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use of third-party service providers, where appropriate, to assist with aspects of our program;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evaluation of key service providers based on our assessment of their criticality to our operations and respective risk profile, for example, through due diligence, contractual protections, and periodic review;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practices designed to safeguard personal information and maintain compliance with data protection requirements;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ongoing monitoring capabilities to detect and evaluate potential security threats;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cybersecurity incident response plan that includes documented procedures for responding to, containing, and recovering from cybersecurity events.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have experienced a number of cybersecurity incidents in the past, which we do not believe to be material, regularly experience cybersecurity attempts, and expect that we will continue to experience varying degrees of cybersecurity attempts and incidents in the future. To date, 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However, there can be no assurance that our cybersecurity risk management program and processes, including our policies, controls, or procedures, will be fully implemented, complied with or effective in protecting our systems and information. See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for additional discussion regarding the risks we face from cybersecurity threats.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considers cybersecurity risk as part of its risk oversight function and has delegated to the Audit and Risk Committee (the “Committee”) oversight of cybersecurity and other information technology risks. The Committee oversees management’s implementation of our cybersecurity risk management program.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Committee receives updates at least annually from our Vice President of Engineering or his designees and management on our cybersecurity risk management and strategy, including, as applicable, progress towards our risk-mitigation goals, results from third-party assessments, and the emerging threat landscape. In addition, management updates the Committee, where it deems appropriate, regarding cybersecurity incidents it considers significant.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Committee reports to the full Board regarding its activities, including those related to cybersecurity and, will, from time to time, brief the full Board on our cybersecurity risk management program. From time to time, our Committee members receive presentations on cybersecurity topics from our internal or external experts as part of its continuing education on topics that impact public companies.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Vice President of Engineering, in coordination with our internal security staff, is responsible for assessing and managing our material risks from cybersecurity threats, and has primary responsibility for our overall cybersecurity risk management program and supervising both our internal cybersecurity personnel and our retained external cybersecurity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Vice President of Engineering, who possesses a 13-year track record in product development and engineering, six years of which consist of overseeing technology, including the oversight of information security systems, reports directly to our Chief Executive Officer. This extensive experience spans both public and private companies.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Vice President of Engineering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and alerts and reports produced by security tools deployed in the IT environment, such as regular network and endpoint monitoring, vulnerability assessments, penetration testing, and tabletop exercises.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various operating leases in the United States and India for office space, two of which are listed in the table below. We believe that our facilities are adequate for our current needs.</w:t>
      </w:r>
    </w:p>
    <w:tbl>
      <w:tblPr>
        <w:tblW w:w="10205" w:type="dxa"/>
        <w:jc w:val="left"/>
        <w:tblInd w:w="0" w:type="dxa"/>
        <w:tblLayout w:type="fixed"/>
        <w:tblCellMar>
          <w:top w:w="28" w:type="dxa"/>
          <w:left w:w="28" w:type="dxa"/>
          <w:bottom w:w="28" w:type="dxa"/>
          <w:right w:w="28" w:type="dxa"/>
        </w:tblCellMar>
      </w:tblPr>
      <w:tblGrid>
        <w:gridCol w:w="745"/>
        <w:gridCol w:w="656"/>
        <w:gridCol w:w="660"/>
        <w:gridCol w:w="1271"/>
        <w:gridCol w:w="1269"/>
        <w:gridCol w:w="1287"/>
        <w:gridCol w:w="635"/>
        <w:gridCol w:w="634"/>
        <w:gridCol w:w="636"/>
        <w:gridCol w:w="702"/>
        <w:gridCol w:w="702"/>
        <w:gridCol w:w="1008"/>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Purpose</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w:t>
            </w:r>
          </w:p>
        </w:tc>
        <w:tc>
          <w:tcPr>
            <w:tcW w:w="2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Lease Expiration Dates</w:t>
            </w:r>
          </w:p>
        </w:tc>
      </w:tr>
      <w:tr>
        <w:trPr/>
        <w:tc>
          <w:tcPr>
            <w:tcW w:w="2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tc>
        <w:tc>
          <w:tcPr>
            <w:tcW w:w="3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Office Space</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20,432 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Tempe, Arizona</w:t>
            </w:r>
          </w:p>
        </w:tc>
        <w:tc>
          <w:tcPr>
            <w:tcW w:w="3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Office Space, Corporate Mailing Address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38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information required by this Item 3 is incorporated herein by reference to the discussion in </w:t>
      </w:r>
      <w:r>
        <w:rPr>
          <w:rFonts w:ascii="Times New Roman;serif" w:hAnsi="Times New Roman;serif"/>
          <w:b w:val="false"/>
          <w:i/>
          <w:color w:val="000000"/>
          <w:sz w:val="20"/>
        </w:rPr>
        <w:t>Part II – Item 8. Financial Statements and Supplementary Data – Notes to Consolidated Financial Statements – Note 19. Commitments and Contingencies – Legal Matters.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legal matters referenced above,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630"/>
        <w:jc w:val="left"/>
        <w:rPr>
          <w:rFonts w:ascii="Times New Roman;serif" w:hAnsi="Times New Roman;serif"/>
          <w:b/>
          <w:color w:val="000000"/>
          <w:sz w:val="20"/>
        </w:rPr>
      </w:pPr>
      <w:r>
        <w:rPr>
          <w:rFonts w:ascii="Times New Roman;serif" w:hAnsi="Times New Roman;serif"/>
          <w:b/>
          <w:color w:val="000000"/>
          <w:sz w:val="20"/>
        </w:rPr>
        <w:t xml:space="preserve">Item 5. Market for Registrant’s Common Equity, Related Stockholder Matters and Issuer Purchases of Equity Securities.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Information for Common Stock and Warrants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(“Nasdaq”) under the symbol “OPEN.” Our Series K, Series A, and Series Z warrants have been listed on the Nasdaq Global Select Market (“Nasdaq”) under the symbols “OPENW,” “OPENL,” and “OPENZ,”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12, 2026, there were approximately 49 holders of record of our common stock (“OPEN”), and 38, 38, and 38 holders of record of our “OPENW,” “OPENL,” and “OPENZ,” warrants to purchase common stock, respectively.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any future earnings to fund the development and growth of our business, and therefore do not expect to pay any cash dividends in the foreseeable future. Any future determination as to the declaration and payment of dividends, if any, will be at the discretion of our Board,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may deem relevant.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Warrant Dividends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6, 2025, our Board of Directors declared a special dividend in the form of warrants to the holders of our common stock (the “Warrants”), as of the close of business on November 18, 2025 (the “Record Date”) (the “Warrant Dividends”). Each holder or record of common stock on the Record Date received a series of three warrants for every 30 shares of common stock held, rounded down to the nearest whole number. The Warrants are listed on Nasdaq and commenced trading on November 24, 2025. The number of shares of common stock issuable upon exercise of the Warrants is subject to customary anti-dilution adjustments. Stockholders paid no consideration for the receipt of these Warrants, and the Warrant Dividends did not involve the payment of cash. For a discussion of our overall dividend policy, see “Dividend Policy” above.</w:t>
      </w:r>
    </w:p>
    <w:p>
      <w:pPr>
        <w:pStyle w:val="TextBody"/>
        <w:bidi w:val="0"/>
        <w:spacing w:lineRule="auto" w:line="26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terms of both the 2026 Notes and the 2030 Notes, the Company was required to either adjust the respective conversion ratio or issue Warrants to the holders of the notes. The conversion rate of the Company’s 2026 Notes was adjusted in accordance with the terms of the governing indenture for such notes. In lieu of an adjustment to the conversion rate, holders of the Company’s 2030 Notes received Warrants, at the same time and on the same terms as holders of common stock, without having to convert such holder’s 2030 Notes, as if such holder held a number of shares of common stock, equal to the product of (i) the conversion rate applicable to the 2030 Notes in effect on the Record Date and (ii) the aggregate principal amount (expressed in thousands) of 2030 Notes held by such holder on the Record Date.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Warrant Dividends and related transactions, including (i) the principal terms of the warrants issued to our common stockholders and (ii) the impact of the Warrant Dividends on our Convertible Senior Notes and on shareholders’ equity, are described in more detail in “</w:t>
      </w:r>
      <w:r>
        <w:rPr>
          <w:rFonts w:ascii="Times New Roman;serif" w:hAnsi="Times New Roman;serif"/>
          <w:b w:val="false"/>
          <w:i/>
          <w:color w:val="000000"/>
          <w:sz w:val="20"/>
        </w:rPr>
        <w:t>Part II – Item 8. Financial Statements and Supplementary Data – Notes to Consolidated Financial Statements – Note 5 — Credit Facilities, Long</w:t>
        <w:noBreakHyphen/>
        <w:t>Term Debt, and Convertible Notes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Note 11 — Shareholders’ Equity</w:t>
      </w:r>
      <w:r>
        <w:rPr>
          <w:color w:val="000000"/>
        </w:rPr>
        <w:t xml:space="preserve">” </w:t>
      </w:r>
      <w:r>
        <w:rPr>
          <w:rFonts w:ascii="Times New Roman;serif" w:hAnsi="Times New Roman;serif"/>
          <w:b w:val="false"/>
          <w:color w:val="000000"/>
          <w:sz w:val="20"/>
        </w:rPr>
        <w:t>to our consolidated financial statements included in this Annual Report on Form 10</w:t>
        <w:noBreakHyphen/>
        <w:t>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Sales of Unregistered Equity Securities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than as disclosed in our Current Reports on Form 8-K dated May 19, 2025 and September 11, 2025, 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stock performance graph set forth below shall not be deemed “soliciting material” or to be “filed” with the SEC for purposes of Section 18 of the Exchange Act and will not be deemed to be incorporated by reference into any filing of the Company under the Securities Act or the Exchange Act. The information contained in the graph is based on historical data and is not intended to forecast possible future performance.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our cumulative total shareholder return on the Company’s common stock with the Nasdaq Real Estate and Other Financial Services Index and the Russell 2000 Index.</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graph covers the period from December 31, 2020 through December 31, 2025 for the Company’s common stock. This graph assumes that the value of the investment in the Company’s common stock and each index (including reinvestment of dividends) was $100 on December 31, 2020.</w:t>
      </w:r>
    </w:p>
    <w:p>
      <w:pPr>
        <w:pStyle w:val="TextBody"/>
        <w:bidi w:val="0"/>
        <w:spacing w:before="240" w:after="283"/>
        <w:ind w:left="0" w:right="0" w:firstLine="450"/>
        <w:jc w:val="left"/>
        <w:rPr/>
      </w:pPr>
      <w:r>
        <w:rPr/>
        <w:drawing>
          <wp:inline distT="0" distB="0" distL="0" distR="0">
            <wp:extent cx="6229350" cy="3790950"/>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2"/>
                    <a:stretch>
                      <a:fillRect/>
                    </a:stretch>
                  </pic:blipFill>
                  <pic:spPr bwMode="auto">
                    <a:xfrm>
                      <a:off x="0" y="0"/>
                      <a:ext cx="6229350" cy="3790950"/>
                    </a:xfrm>
                    <a:prstGeom prst="rect">
                      <a:avLst/>
                    </a:prstGeom>
                  </pic:spPr>
                </pic:pic>
              </a:graphicData>
            </a:graphic>
          </wp:inline>
        </w:drawing>
      </w:r>
      <w:bookmarkStart w:id="0" w:name="i-1"/>
      <w:bookmarkEnd w:id="0"/>
    </w:p>
    <w:p>
      <w:pPr>
        <w:pStyle w:val="TextBody"/>
        <w:bidi w:val="0"/>
        <w:spacing w:before="240" w:after="283"/>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hanging="630"/>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2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provides information that our management believes is relevant to an assessment and understanding of our consolidated results of operations and financial condition. The discussion should be read together with the historical audited annual consolidated financial statements as of December 31, 2025 and 2024 and for the years ended December 31, 2025, 2024, and 2023. </w:t>
      </w:r>
    </w:p>
    <w:p>
      <w:pPr>
        <w:pStyle w:val="TextBody"/>
        <w:bidi w:val="0"/>
        <w:spacing w:lineRule="auto" w:line="288" w:before="2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Opendoor’s mission is to tilt the world in favor of homeowners, by making homeownership simpler, faster, and fairer for everyone. Residential real estate is a trillion-dollar industry underpinned by a process that is complicated, time-consuming, stressful, and offline. Our data-driven pricing models and integrated local operations are modernizing residential real estate by providing a simple, certain, and largely digital way to buy and sell homes. Since our founding, we have completed over 294,000 transactions across the United States, making us one of the largest buyers and sellers of homes in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Highlights and Operating Metrics</w:t>
      </w:r>
    </w:p>
    <w:tbl>
      <w:tblPr>
        <w:tblW w:w="10205" w:type="dxa"/>
        <w:jc w:val="left"/>
        <w:tblInd w:w="0" w:type="dxa"/>
        <w:tblLayout w:type="fixed"/>
        <w:tblCellMar>
          <w:top w:w="28" w:type="dxa"/>
          <w:left w:w="28" w:type="dxa"/>
          <w:bottom w:w="28" w:type="dxa"/>
          <w:right w:w="28" w:type="dxa"/>
        </w:tblCellMar>
      </w:tblPr>
      <w:tblGrid>
        <w:gridCol w:w="1116"/>
        <w:gridCol w:w="902"/>
        <w:gridCol w:w="908"/>
        <w:gridCol w:w="109"/>
        <w:gridCol w:w="109"/>
        <w:gridCol w:w="109"/>
        <w:gridCol w:w="211"/>
        <w:gridCol w:w="646"/>
        <w:gridCol w:w="271"/>
        <w:gridCol w:w="109"/>
        <w:gridCol w:w="109"/>
        <w:gridCol w:w="109"/>
        <w:gridCol w:w="211"/>
        <w:gridCol w:w="616"/>
        <w:gridCol w:w="271"/>
        <w:gridCol w:w="109"/>
        <w:gridCol w:w="109"/>
        <w:gridCol w:w="109"/>
        <w:gridCol w:w="211"/>
        <w:gridCol w:w="616"/>
        <w:gridCol w:w="271"/>
        <w:gridCol w:w="109"/>
        <w:gridCol w:w="109"/>
        <w:gridCol w:w="109"/>
        <w:gridCol w:w="246"/>
        <w:gridCol w:w="762"/>
        <w:gridCol w:w="127"/>
        <w:gridCol w:w="109"/>
        <w:gridCol w:w="109"/>
        <w:gridCol w:w="109"/>
        <w:gridCol w:w="244"/>
        <w:gridCol w:w="758"/>
        <w:gridCol w:w="183"/>
      </w:tblGrid>
      <w:tr>
        <w:trPr/>
        <w:tc>
          <w:tcPr>
            <w:tcW w:w="111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 except percentages, homes purchased, homes sold, number of markets, and homes in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to 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 to 2024 Change</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Percentage of homes “on the market” for greater than 120 days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Non-GAAP Financial Highlights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Current Housing Environment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2025, the U.S. housing market remained constrained by elevated mortgage rates and persistent affordability challenges. Existing home sales totaled approximately four million units for the full year, representing a 30-year low and roughly 20% below the pre-pandemic decade average of approximately 5 million annual sales. Home prices remained relatively flat, supported by limited inventory, even as transaction volumes reflected continued buyer hesitancy. Inventory levels remained constrained in December, representing just over 3 months of supply. Mortgage rates declined to approximately 6.2%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from highs around 7% earlier in the year. However, seller-buyer disconnect persisted, with delistings (homes withdrawn from the market without selling) reaching the highest levels in Opendoor’s operating history.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response to these market conditions, we maintained a disciplined, data-driven approach to managing our business, dynamically adjusting our pricing strategies to balance growth, margin, and risk. In 2025 we continued to have elevated spread levels in response to this uncertainty and expanded our agent-led distribution channel and capital-light product initiatives. Beginning in the fourth quarter of 2025, we refined our high spread policy to adopt a more tailored approach, providing stronger offers for higher-quality homes with greater expected resale velocity while maintaining higher spreads for lower-quality homes with elevated risk and slower resale clearance expectations. We believe these refinements will increase the likelihood of offer acceptance among higher-quality homes, improve the overall quality mix of homes in our portfolio, and support faster sell</w:t>
        <w:noBreakHyphen/>
        <w:t>through. In addition, we dynamically adjust list prices to calibrate to market sell</w:t>
        <w:noBreakHyphen/>
        <w:t>through rates and drive resale clearance. We closely monitor macroeconomic developments and remain agile in our decision-making, enabling us to respond effectively to shifts in interest rates and broader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Business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 Penetration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Residential real estate is one of the largest consumer markets in the United States, of which less than 1% of the estimated $1.7 trillion of home value transacted annually is conducted online. Given the fact that we operate in a highly fragmented industry and offer a differentiated value proposition to the traditional offline selling process, we believe there is significant opportunity to expand our market share. By providing a consistent, high-quality and differentiated experience to our customers, we hope to continue to drive positive word-of-mouth awareness and trust in our platform.</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Partnership channels with homebuilders, agents, and online real estate platforms are an important source of leads for our business. We have relationships with two of the largest online real estate platforms, Zillow and Redfin, which together reach millions of unique monthly visitors and allow home sellers to request an offer directly from Opendoor. In addition to driving incremental acquisitions, we expect these partnerships can build our brand awareness and serve as additional avenues for sellers to learn about the benefits of our flagship cash offer.</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continued source of opportunity is re-engagement with our base of registered sellers, meaning sellers that have received an offer from Opendoor but have not yet sold their home. In the last ten years, we have sent millions of offers and, while not everyone is ready to act when they request an offer, we treat everyone as a potential future seller. We perpetually iterate on our re-engagement strategies and believe that our registered customer base will continue to be an important source of home acquisition volumes.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Geographic Footprint</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continually evaluate opportunities to expand our market footprint. At the start of 2025, our products were available in 50 markets across select U.S. states. By the end of 2025, we expanded our reach to serve customers nationwide across the contiguous United States through one or more of our product offerings, including cash and cash plus offers.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Adjacent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home sellers and buyers value simplicity and certainty. To that end, we are building an online, integrated suite of home services, which currently includes title insurance, escrow services and real estate brokerage services. </w:t>
      </w:r>
    </w:p>
    <w:p>
      <w:pPr>
        <w:pStyle w:val="TextBody"/>
        <w:bidi w:val="0"/>
        <w:spacing w:lineRule="auto" w:line="288" w:before="240" w:after="283"/>
        <w:ind w:left="0" w:right="0" w:firstLine="450"/>
        <w:jc w:val="left"/>
        <w:rPr/>
      </w:pPr>
      <w:r>
        <w:rPr>
          <w:rFonts w:ascii="Times New Roman;serif" w:hAnsi="Times New Roman;serif"/>
          <w:b w:val="false"/>
          <w:color w:val="000000"/>
          <w:sz w:val="20"/>
          <w:shd w:fill="FFFFFF" w:val="clear"/>
        </w:rPr>
        <w:t xml:space="preserve">Our success with title insurance and escrow services helps validate our view that customers prefer an online, integrated experience. </w:t>
      </w:r>
      <w:r>
        <w:rPr>
          <w:rFonts w:ascii="Times New Roman;serif" w:hAnsi="Times New Roman;serif"/>
          <w:b w:val="false"/>
          <w:color w:val="000000"/>
          <w:sz w:val="20"/>
        </w:rPr>
        <w:t>We will continue to evaluate new ways to improve our end-to-end solution and expect to invest in additional adjacent products and services over time, including through potential strategic transactions, growth opportunities or partnerships, with the expectation that these adjacent services will continue to improve our unit economics.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Unit Economics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view Contribution Margin as a key measure of unit economic performance. Contribution Margin is a non-GAAP financial measure. See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 xml:space="preserve">for further details and a reconciliation of Contribution Margin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pPr>
      <w:r>
        <w:rPr>
          <w:rFonts w:ascii="Times New Roman;serif" w:hAnsi="Times New Roman;serif"/>
          <w:b w:val="false"/>
          <w:color w:val="000000"/>
          <w:sz w:val="20"/>
        </w:rPr>
        <w:t>gross margin.</w:t>
      </w:r>
      <w:r>
        <w:rPr>
          <w:color w:val="008080"/>
        </w:rPr>
        <w:t xml:space="preserve"> </w:t>
      </w:r>
      <w:r>
        <w:rPr>
          <w:rFonts w:ascii="Times New Roman;serif" w:hAnsi="Times New Roman;serif"/>
          <w:b w:val="false"/>
          <w:color w:val="000000"/>
          <w:sz w:val="20"/>
        </w:rPr>
        <w:t>Our long-term financial performance depends, in part, on continuing to maintain and expand unit margins through the following initiatives: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Optimization and enhancements of our pricing engine;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Platform efficiency improvements through greater use of generative AI, automation and self-service;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Incremental attach of services, which supplement the core transaction margin profile;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Continuation of our agent-led distribution channel;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Leveraging our platform to develop additional offerings, which we expect can increase overall conversion and unlock more capital-light margin.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 Management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Effectively managing our overall inventory position and balancing growth, margin, and risk are critical to our financial performance. Since our inception, we have prioritized investment in our pricing capabilities across our home acquisition processes and our forecasting and resale systems, and expect to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 and we will adjust down listed prices on our inventory when appropriate to stay in-line with market sell-through rates and drive resale clearance. We also adjust the spreads embedded in our offers to respond to current market conditions, both at a macro and local level. (Spreads are defined as total discount to our home valuation at time of offer less the Opendoor service fee.)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Real estate inventory is reviewed for valuation adjustments on a quarterly basis. If the carrying amount for a given home is not expected to be recovered, an inventory valuation adjustment is recorded to cost of revenue and the home’s carrying value is adjusted to its net realizable value. Inventory valuation adjustments are not offset by any expected gains and are not reversed or adjusted should the expected net realizable value subsequently increase. We recorded inventory valuation adjustments of $57 million and $57 million during the years ended December 31, 2025 and 2024, respectively. See “—</w:t>
      </w:r>
      <w:r>
        <w:rPr>
          <w:rFonts w:ascii="Times New Roman;serif" w:hAnsi="Times New Roman;serif"/>
          <w:b w:val="false"/>
          <w:i/>
          <w:color w:val="000000"/>
          <w:sz w:val="20"/>
        </w:rPr>
        <w:t>Critical Accounting Policies and Estimates — Real Estate Inventory”</w:t>
      </w:r>
      <w:r>
        <w:rPr>
          <w:color w:val="000000"/>
        </w:rPr>
        <w:t xml:space="preserve"> </w:t>
      </w:r>
      <w:r>
        <w:rPr>
          <w:rFonts w:ascii="Times New Roman;serif" w:hAnsi="Times New Roman;serif"/>
          <w:b w:val="false"/>
          <w:color w:val="000000"/>
          <w:sz w:val="20"/>
        </w:rPr>
        <w:t>for a detailed discussion of inventory valuation adjustments.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December 31, 2025, such homes represented 33% of our portfolio, compared to 37% for the broader market when filtered for the types of homes we are able to underwrite and acquire based on characteristics such as market, price range, home type, home location, year built and lot size (which we refer to as our “buybox”). This metric fluctuates based on seasonal factors, market dynamics, and our resale strategies.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 Financing</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Times New Roman;serif" w:hAnsi="Times New Roman;serif"/>
          <w:b w:val="false"/>
          <w:i/>
          <w:color w:val="000000"/>
          <w:sz w:val="20"/>
        </w:rPr>
        <w:t>Liquidity and Capital Resources — Debt and Financing Arrangements.</w:t>
      </w:r>
      <w:r>
        <w:rPr>
          <w:color w:val="00000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and changes in macroeconomic conditions, such as inflation and interest rate fluctuations, have obscured the impact of seasonality in our historical financials and may continue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below, we report certain financial measures that are not required by, or presented in accordance with, U.S. generally accepted accounting principles (“GAAP”).</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measures have limitations as analytical tools when assessing our operating performance and should not be considered in isolation or as a substitute for GAAP measures, including gross profit and net loss.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Gross Profit and Contribution Profit (Loss)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provide investors with additional information regarding our margins and return on inventory acquired, we have included Adjusted Gross Profit and Contribution Profit (Loss), which are non-GAAP financial measures. We believe that Adjusted Gross Profit and Contribution Profit (Loss)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(Loss) provides investors a measure to assess Opendoor’s ability to generate returns on homes sold during a reporting period after considering home purchase costs, renovation and repair costs, holding costs and selling costs.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Gross Profit and Contribution Profit (Loss)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 Margin</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 See “—</w:t>
      </w:r>
      <w:r>
        <w:rPr>
          <w:rFonts w:ascii="Times New Roman;serif" w:hAnsi="Times New Roman;serif"/>
          <w:b w:val="false"/>
          <w:i/>
          <w:color w:val="000000"/>
          <w:sz w:val="20"/>
        </w:rPr>
        <w:t>Critical Accounting Policies and Estimates — Real Estate Inventory”</w:t>
      </w:r>
      <w:r>
        <w:rPr>
          <w:color w:val="000000"/>
        </w:rPr>
        <w:t xml:space="preserve"> </w:t>
      </w:r>
      <w:r>
        <w:rPr>
          <w:rFonts w:ascii="Times New Roman;serif" w:hAnsi="Times New Roman;serif"/>
          <w:b w:val="false"/>
          <w:color w:val="000000"/>
          <w:sz w:val="20"/>
        </w:rPr>
        <w:t>for a detailed discussion of inventory valuation adjustments.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Profit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Contribution Profit (Loss) as Adjusted Gross Profit, minus certain costs incurred on homes sold during the current period including: (1) holding costs incurred in the current period, (2) holding costs incurred in prior periods, and (3) direct selling costs. Contribution Margin is Contribution Profit (Loss) as a percentage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this metric as an important measure of business performance as it captures the unit level performance isolated to homes sold in a given period and provides comparability across reporting periods. Contribution Profit (Loss) helps management assess inflows and outflows directly associated with a specific resale cohort.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Gross Profit and Contribution Profit to our gross profit, which is the most directly comparable GAAP measure, for the periods indicated:</w:t>
      </w:r>
    </w:p>
    <w:tbl>
      <w:tblPr>
        <w:tblW w:w="8759" w:type="dxa"/>
        <w:jc w:val="left"/>
        <w:tblInd w:w="0" w:type="dxa"/>
        <w:tblLayout w:type="fixed"/>
        <w:tblCellMar>
          <w:top w:w="28" w:type="dxa"/>
          <w:left w:w="28" w:type="dxa"/>
          <w:bottom w:w="28" w:type="dxa"/>
          <w:right w:w="28" w:type="dxa"/>
        </w:tblCellMar>
      </w:tblPr>
      <w:tblGrid>
        <w:gridCol w:w="1592"/>
        <w:gridCol w:w="1398"/>
        <w:gridCol w:w="1404"/>
        <w:gridCol w:w="109"/>
        <w:gridCol w:w="109"/>
        <w:gridCol w:w="109"/>
        <w:gridCol w:w="211"/>
        <w:gridCol w:w="631"/>
        <w:gridCol w:w="271"/>
        <w:gridCol w:w="109"/>
        <w:gridCol w:w="109"/>
        <w:gridCol w:w="109"/>
        <w:gridCol w:w="211"/>
        <w:gridCol w:w="631"/>
        <w:gridCol w:w="271"/>
        <w:gridCol w:w="109"/>
        <w:gridCol w:w="109"/>
        <w:gridCol w:w="109"/>
        <w:gridCol w:w="211"/>
        <w:gridCol w:w="631"/>
        <w:gridCol w:w="316"/>
      </w:tblGrid>
      <w:tr>
        <w:trPr/>
        <w:tc>
          <w:tcPr>
            <w:tcW w:w="15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6,946</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selling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 on sales – Current Period</w:t>
            </w:r>
            <w:r>
              <w:rPr>
                <w:rFonts w:ascii="Times New Roman;serif" w:hAnsi="Times New Roman;serif"/>
                <w:b w:val="false"/>
                <w:color w:val="000000"/>
                <w:sz w:val="13"/>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 on sales – Prior Periods</w:t>
            </w:r>
            <w:r>
              <w:rPr>
                <w:rFonts w:ascii="Times New Roman;serif" w:hAnsi="Times New Roman;serif"/>
                <w:b w:val="false"/>
                <w:color w:val="000000"/>
                <w:sz w:val="13"/>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Contribution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2" w:space="0" w:color="FFFFFF"/>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Inventory valuation adjustment includes adjustments to record real estate inventory at the lower of its carrying amount or its net realizable value. See “—</w:t>
      </w:r>
      <w:r>
        <w:rPr>
          <w:rFonts w:ascii="Times New Roman;serif" w:hAnsi="Times New Roman;serif"/>
          <w:b w:val="false"/>
          <w:i/>
          <w:color w:val="000000"/>
          <w:sz w:val="20"/>
        </w:rPr>
        <w:t>Critical Accounting Policies and Estimates — Real Estate Inventory.</w:t>
      </w:r>
      <w:r>
        <w:rPr>
          <w:color w:val="000000"/>
        </w:rPr>
        <w:t>”</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Inventory valuation adjustment — Current Period is the inventory valuation adjustments recorded during the period presented associated with homes that remain in inventory at period end. </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Selling costs are included in Sales, marketing and operations on the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Holding costs primarily include property taxes, insurance, utilities, homeowners association dues and maintenance costs. Holding costs are included in Sales, marketing, and operations on the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Represents holding costs incurred in the period presented on homes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Represents holding costs incurred in prior periods on homes sold in the period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Net Loss and Adjusted EBITDA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Net Loss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Net Loss as GAAP net loss adjusted to exclude non-cash expenses of stock-based compensation, equity securities fair value adjustment, intangibles amortization expense, and the amortization of stock-based compensation capitalized to internally developed software (“IDSW”). It excludes expenses that are not directly related to our revenue-generating operations such as restructuring, legal contingency accruals, and CEO make-whole provision. It also excludes loss (gain) on extinguishment of debt as these expenses or gains were incurred as a result of decisions made by management to terminate or partially extinguish portions of our outstanding credit facilities or convertible senior notes early; these expenses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Net Loss and Adjusted EBITDA to our net loss, which is the most directly comparable GAAP measure, for the periods indicated:</w:t>
      </w:r>
    </w:p>
    <w:tbl>
      <w:tblPr>
        <w:tblW w:w="10184" w:type="dxa"/>
        <w:jc w:val="left"/>
        <w:tblInd w:w="0" w:type="dxa"/>
        <w:tblLayout w:type="fixed"/>
        <w:tblCellMar>
          <w:top w:w="28" w:type="dxa"/>
          <w:left w:w="28" w:type="dxa"/>
          <w:bottom w:w="28" w:type="dxa"/>
          <w:right w:w="28" w:type="dxa"/>
        </w:tblCellMar>
      </w:tblPr>
      <w:tblGrid>
        <w:gridCol w:w="2087"/>
        <w:gridCol w:w="1833"/>
        <w:gridCol w:w="1839"/>
        <w:gridCol w:w="109"/>
        <w:gridCol w:w="109"/>
        <w:gridCol w:w="109"/>
        <w:gridCol w:w="211"/>
        <w:gridCol w:w="691"/>
        <w:gridCol w:w="271"/>
        <w:gridCol w:w="109"/>
        <w:gridCol w:w="109"/>
        <w:gridCol w:w="109"/>
        <w:gridCol w:w="211"/>
        <w:gridCol w:w="631"/>
        <w:gridCol w:w="271"/>
        <w:gridCol w:w="109"/>
        <w:gridCol w:w="109"/>
        <w:gridCol w:w="109"/>
        <w:gridCol w:w="211"/>
        <w:gridCol w:w="631"/>
        <w:gridCol w:w="316"/>
      </w:tblGrid>
      <w:tr>
        <w:trPr/>
        <w:tc>
          <w:tcPr>
            <w:tcW w:w="208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6,946</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 securities fair value adjustment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Intangibles amortization expense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Amortization of stock-based compensation capitalized to IDSW</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CEO make-whole provision</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Legal contingency accrual and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Property financing</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interest expense</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gains and losses on certain financial instruments, which are marked to fair value at the end of each period.</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amortization of acquisition-related intangible assets. The acquired intangible assets had useful lives ranging from 1 to 5 years and amortization was incurred until the intangible assets were fully amortized in 2024.</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Beginning in 2025, the Company revised the presentation of the amortization of stock-based compensation capitalized to IDSW to more appropriately present the full impact of all stock-based compensation expenses. This expense was previously included in “Depreciation and amortization, excluding amortization of intangibles.” Had this presentation been applied for the years ended December 31, 2024 and December 31, 2023, Adjusted Net Loss would have improved by $13 million and $12 million, respectively, with no impact to Adjusted EBITDA.</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Inventory valuation adjustment includes adjustments to record real estate inventory at the lower of its carrying amount or its net realizable value. See “—</w:t>
      </w:r>
      <w:r>
        <w:rPr>
          <w:rFonts w:ascii="Times New Roman;serif" w:hAnsi="Times New Roman;serif"/>
          <w:b w:val="false"/>
          <w:i/>
          <w:color w:val="000000"/>
          <w:sz w:val="20"/>
        </w:rPr>
        <w:t>Critical Accounting Policies and Estimates — Real Estate Inventory.</w:t>
      </w:r>
      <w:r>
        <w:rPr>
          <w:color w:val="000000"/>
        </w:rPr>
        <w:t>”</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 xml:space="preserve">Restructuring costs consist primarily of severance and employee termination benefits and bonuses incurred in connection with the elimination of employees’ roles, consulting fees and expenses related to the termination of certain leases incurred during the restructuring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(8)</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120" w:after="283"/>
        <w:ind w:left="0" w:right="0" w:hanging="360"/>
        <w:jc w:val="left"/>
        <w:rPr/>
      </w:pPr>
      <w:r>
        <w:rPr>
          <w:rFonts w:ascii="Times New Roman;serif" w:hAnsi="Times New Roman;serif"/>
          <w:b w:val="false"/>
          <w:color w:val="000000"/>
          <w:sz w:val="13"/>
        </w:rPr>
        <w:t>(9)</w:t>
      </w:r>
      <w:r>
        <w:rPr>
          <w:rFonts w:ascii="Times New Roman;serif" w:hAnsi="Times New Roman;serif"/>
          <w:b w:val="false"/>
          <w:color w:val="000000"/>
          <w:sz w:val="20"/>
        </w:rPr>
        <w:t>Primarily includes gain on deconsolidation, net and related party services income.</w:t>
      </w:r>
    </w:p>
    <w:p>
      <w:pPr>
        <w:pStyle w:val="TextBody"/>
        <w:bidi w:val="0"/>
        <w:spacing w:lineRule="auto" w:line="288" w:before="120" w:after="283"/>
        <w:ind w:left="0" w:right="0" w:hanging="360"/>
        <w:jc w:val="left"/>
        <w:rPr/>
      </w:pPr>
      <w:r>
        <w:rPr>
          <w:rFonts w:ascii="Times New Roman;serif" w:hAnsi="Times New Roman;serif"/>
          <w:b w:val="false"/>
          <w:color w:val="000000"/>
          <w:sz w:val="13"/>
        </w:rPr>
        <w:t>(10)</w:t>
      </w:r>
      <w:r>
        <w:rPr>
          <w:rFonts w:ascii="Times New Roman;serif" w:hAnsi="Times New Roman;serif"/>
          <w:b w:val="false"/>
          <w:color w:val="000000"/>
          <w:sz w:val="20"/>
        </w:rPr>
        <w:t>Includes interest expense on our non-recourse asset-backed debt facilities.</w:t>
      </w:r>
    </w:p>
    <w:p>
      <w:pPr>
        <w:pStyle w:val="TextBody"/>
        <w:bidi w:val="0"/>
        <w:spacing w:lineRule="auto" w:line="288" w:before="120" w:after="283"/>
        <w:ind w:left="0" w:right="0" w:hanging="360"/>
        <w:jc w:val="left"/>
        <w:rPr/>
      </w:pPr>
      <w:r>
        <w:rPr>
          <w:rFonts w:ascii="Times New Roman;serif" w:hAnsi="Times New Roman;serif"/>
          <w:b w:val="false"/>
          <w:color w:val="000000"/>
          <w:sz w:val="13"/>
        </w:rPr>
        <w:t>(11)</w:t>
      </w:r>
      <w:r>
        <w:rPr>
          <w:rFonts w:ascii="Times New Roman;serif" w:hAnsi="Times New Roman;serif"/>
          <w:b w:val="false"/>
          <w:color w:val="000000"/>
          <w:sz w:val="20"/>
        </w:rPr>
        <w:t>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w:t>
      </w:r>
    </w:p>
    <w:p>
      <w:pPr>
        <w:pStyle w:val="TextBody"/>
        <w:bidi w:val="0"/>
        <w:spacing w:lineRule="auto" w:line="288" w:before="120" w:after="283"/>
        <w:ind w:left="0" w:right="0" w:hanging="360"/>
        <w:jc w:val="left"/>
        <w:rPr/>
      </w:pPr>
      <w:r>
        <w:rPr>
          <w:rFonts w:ascii="Times New Roman;serif" w:hAnsi="Times New Roman;serif"/>
          <w:b w:val="false"/>
          <w:color w:val="000000"/>
          <w:sz w:val="13"/>
        </w:rPr>
        <w:t>(12)</w:t>
      </w:r>
      <w:r>
        <w:rPr>
          <w:rFonts w:ascii="Times New Roman;serif" w:hAnsi="Times New Roman;serif"/>
          <w:b w:val="false"/>
          <w:color w:val="000000"/>
          <w:sz w:val="20"/>
        </w:rPr>
        <w:t>Consists mainly of interest earned on cash, cash equivalents, restricted cash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the majority of our revenue from the sale of homes that we previously acquired from homeowners. In addition, we generate revenue from additional services we provide to both home sellers and buyers, which consists primarily of title insurance and escrow services and brokerage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for a given home is not expected to be recovered, an inventory valuation adjustment is recorded to cost of revenue and the home’s carrying value is adjusted to its net realizable value. Additionally, for our revenue other than home sales revenue, cost of revenue consists of any costs incurred in delivering the service, including associated headcount expenses such as salaries, benefits and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Marketing and Operations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 expense consists primarily of broker commissions (paid to the home buyers’ real estate agents and third-party listing agents, if applicable), resale closing costs, holding costs related to real estate inventory including property taxes, insurance, utilities, homeowners association dues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 consists primarily of employee-related expenses for product development, design, data analytics and engineering, including salaries, benefits and stock-based compensation, as well as contractor and consultant fees, third-party software and hosting costs, and amortization of internally developed software. We continue to focus our technology and development efforts on enhancing our pricing and valuation algorithms, improving transaction efficiency, and expanding the capabilities, product offerings and user experience of our digital home buying and selling platform. While we expect technology and development expenses to increase in absolute dollars as we continue to invest in our platform, over the long term we expect our technology and development expenses will eventually decline as a percentage of total revenues.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Expense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Restructuring expense consists primarily of severance and other termination benefits for employees whose roles have been eliminated, consulting fees, and expenses related to the termination of certain leases incurred during the restructuring process. See “</w:t>
      </w:r>
      <w:r>
        <w:rPr>
          <w:rFonts w:ascii="Times New Roman;serif" w:hAnsi="Times New Roman;serif"/>
          <w:b w:val="false"/>
          <w:i/>
          <w:color w:val="000000"/>
          <w:sz w:val="20"/>
        </w:rPr>
        <w:t>Part II – Item 8. Financial Statements and Supplementary Data – Notes to Consolidated Financial Statements – Note 20. Restructuring”</w:t>
      </w:r>
      <w:r>
        <w:rPr>
          <w:color w:val="000000"/>
        </w:rPr>
        <w:t xml:space="preserve"> </w:t>
      </w:r>
      <w:r>
        <w:rPr>
          <w:rFonts w:ascii="Times New Roman;serif" w:hAnsi="Times New Roman;serif"/>
          <w:b w:val="false"/>
          <w:color w:val="000000"/>
          <w:sz w:val="20"/>
        </w:rPr>
        <w:t>for additional information regarding restructuring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(Loss) Gain on Extinguishment of Debt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(Loss) gain on extinguishment of debt consists primarily of gains or losses recognized in conjunction with the termination or partial debt extinguishment of debt facilities and convertible senior notes and the derecognition of associated unamortized deferred costs. See “</w:t>
      </w:r>
      <w:r>
        <w:rPr>
          <w:rFonts w:ascii="Times New Roman;serif" w:hAnsi="Times New Roman;serif"/>
          <w:b w:val="false"/>
          <w:i/>
          <w:color w:val="000000"/>
          <w:sz w:val="20"/>
        </w:rPr>
        <w:t>Part II – Item 8. Financial Statements and Supplementary Data – Notes to Consolidated Financial Statements – Note 5. Credit Facilities, Long-Term Debt, and Convertible Notes”</w:t>
      </w:r>
      <w:r>
        <w:rPr>
          <w:color w:val="000000"/>
        </w:rPr>
        <w:t xml:space="preserve"> </w:t>
      </w:r>
      <w:r>
        <w:rPr>
          <w:rFonts w:ascii="Times New Roman;serif" w:hAnsi="Times New Roman;serif"/>
          <w:b w:val="false"/>
          <w:color w:val="000000"/>
          <w:sz w:val="20"/>
        </w:rPr>
        <w:t>for additional information regarding the convertible senior notes.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Interest expense consists primarily of interest paid or payable and the amortization of debt discounts and debt issuance costs. Interest expense varies period over period, primarily due to fluctuations in our inventory volumes and changes in the floating benchmark interest rates (“Benchmark Rates”), based on the secured overnight financing rate (“SOFR”), plus an applicable margin, which impact the interest incurred on our senior revolving credit facilities (see “— </w:t>
      </w:r>
      <w:r>
        <w:rPr>
          <w:rFonts w:ascii="Times New Roman;serif" w:hAnsi="Times New Roman;serif"/>
          <w:b w:val="false"/>
          <w:i/>
          <w:color w:val="000000"/>
          <w:sz w:val="20"/>
        </w:rPr>
        <w:t>Liquidity and Capital Resources — Debt and Financing Arrangements</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cost-effective financing relative to our higher cost mezzanine term debt facilities.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 Net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Other income </w:t>
      </w:r>
      <w:r>
        <w:rPr>
          <w:color w:val="000000"/>
        </w:rPr>
        <w:t xml:space="preserve">– </w:t>
      </w:r>
      <w:r>
        <w:rPr>
          <w:rFonts w:ascii="Times New Roman;serif" w:hAnsi="Times New Roman;serif"/>
          <w:b w:val="false"/>
          <w:color w:val="000000"/>
          <w:sz w:val="20"/>
        </w:rPr>
        <w:t>net consists primarily of interest income on our Cash and Restricted cash balances and from our investment in money market funds, debt securities, and gains from deconsolidation.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Year Ended December 31, 2025 Compared to Year Ended December 31, 2024</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years ended December 31, 2025 and 2024:</w:t>
      </w:r>
    </w:p>
    <w:tbl>
      <w:tblPr>
        <w:tblW w:w="7126" w:type="dxa"/>
        <w:jc w:val="left"/>
        <w:tblInd w:w="0" w:type="dxa"/>
        <w:tblLayout w:type="fixed"/>
        <w:tblCellMar>
          <w:top w:w="28" w:type="dxa"/>
          <w:left w:w="28" w:type="dxa"/>
          <w:bottom w:w="28" w:type="dxa"/>
          <w:right w:w="28" w:type="dxa"/>
        </w:tblCellMar>
      </w:tblPr>
      <w:tblGrid>
        <w:gridCol w:w="978"/>
        <w:gridCol w:w="859"/>
        <w:gridCol w:w="862"/>
        <w:gridCol w:w="211"/>
        <w:gridCol w:w="691"/>
        <w:gridCol w:w="109"/>
        <w:gridCol w:w="109"/>
        <w:gridCol w:w="109"/>
        <w:gridCol w:w="109"/>
        <w:gridCol w:w="211"/>
        <w:gridCol w:w="616"/>
        <w:gridCol w:w="109"/>
        <w:gridCol w:w="109"/>
        <w:gridCol w:w="109"/>
        <w:gridCol w:w="109"/>
        <w:gridCol w:w="211"/>
        <w:gridCol w:w="541"/>
        <w:gridCol w:w="109"/>
        <w:gridCol w:w="109"/>
        <w:gridCol w:w="269"/>
        <w:gridCol w:w="271"/>
        <w:gridCol w:w="316"/>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856" w:type="dxa"/>
            <w:gridSpan w:val="3"/>
            <w:tcBorders/>
          </w:tcPr>
          <w:p>
            <w:pPr>
              <w:pStyle w:val="TableContents"/>
              <w:bidi w:val="0"/>
              <w:spacing w:before="0" w:after="283"/>
              <w:jc w:val="left"/>
              <w:rPr>
                <w:sz w:val="4"/>
                <w:szCs w:val="4"/>
              </w:rPr>
            </w:pPr>
            <w:r>
              <w:rPr>
                <w:sz w:val="4"/>
                <w:szCs w:val="4"/>
              </w:rPr>
            </w:r>
          </w:p>
        </w:tc>
      </w:tr>
      <w:tr>
        <w:trPr/>
        <w:tc>
          <w:tcPr>
            <w:tcW w:w="2699"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decreased by $782 million, or 15%, for the year ended December 31, 2025 compared to the year ended December 31, 2024. The decrease in revenue was primarily attributable to lower sales volumes during the year ended December 31, 2025. We sold 11,791 homes during the year ended December 31, 2025, compared to 13,593 homes during the year ended December 31, 2024, representing a decrease of 13%. Revenue per home sold decreased 2% between the same periods.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and Gross Profit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decreased by $699 million, or 15%, for the year ended December 31, 2025 compared to the year ended December 31, 2024. The decrease in cost of revenue was primarily attributable to lower sales volumes and a 2% decrease in cost of revenue per home sold.</w:t>
      </w:r>
    </w:p>
    <w:p>
      <w:pPr>
        <w:pStyle w:val="TextBody"/>
        <w:bidi w:val="0"/>
        <w:spacing w:lineRule="auto" w:line="288" w:before="240" w:after="283"/>
        <w:ind w:left="0" w:right="0" w:firstLine="450"/>
        <w:jc w:val="left"/>
        <w:rPr/>
      </w:pPr>
      <w:r>
        <w:rPr>
          <w:rFonts w:ascii="Times New Roman;serif" w:hAnsi="Times New Roman;serif"/>
          <w:b w:val="false"/>
          <w:color w:val="000000"/>
          <w:sz w:val="20"/>
        </w:rPr>
        <w:t>Gross profit decreased from $433 million to $350 million and gross margin decreased from 8.4% to 8.0% for the years ended December 31, 2024 and December 31, 2025, respectively. For the same periods, Adjusted Gross Margin decreased from 8.4% to 7.9% and Contribution Margin decreased from 4.7% to 3.4%. The decrease in gross profit was attributable to lower sales volumes as discussed above. The decrease in gross margin, Adjusted Gross Margin and Contribution Margin was largely driven by a higher mix of older inventory in the resale cohort. Adjusted Gross Margin and Contribution Margin are non-GAAP financial measures. See “—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 xml:space="preserve">for further details and a reconciliation of such non-GAAP measures to their nearest comparable GAAP measures.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Sales, Marketing and Operations</w:t>
      </w:r>
      <w:r>
        <w:rPr>
          <w:rFonts w:ascii="Times New Roman;serif" w:hAnsi="Times New Roman;serif"/>
          <w:b w:val="false"/>
          <w:color w:val="000000"/>
          <w:sz w:val="20"/>
        </w:rPr>
        <w:t xml:space="preserve">. Sales, marketing and operations decreased by $103 million, or 25%, for the year ended December 31, 2025 compared to the year ended December 31, 2024. The decrease was primarily attributable to a $39 million decrease in advertising expense, which decreased from $86 million for the year ended December 31, 2024 to $47 million for the year ended December 31, 2025, a $36 million decrease in headcount expenses, including salaries, benefits, and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expenses due to lower headcount consistent with ongoing cost-reduction and organizational streamlining efforts, an $11 million decrease in resale transaction costs and broker commissions, consistent with the 15% decrease in revenue during the same period, and a $9 million decrease in property holding costs due to decreased homes in inventory.</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increased by $56 million, or 31%, for the year ended December 31, 2025 compared to the year ended December 31, 2024. The increase was primarily attributable to a $103 million increase in market-condition restricted stock units granted to executives, partially offset by a $38 million decrease in headcount expenses, including salaries, benefits, and stock-based compensation expenses due to lower headcount consistent with ongoing cost-reduction and organizational streamlining efforts, a $5 million decrease in legal loss contingency expense and a $4 million decrease in rent expense.</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Technology and Development</w:t>
      </w:r>
      <w:r>
        <w:rPr>
          <w:rFonts w:ascii="Times New Roman;serif" w:hAnsi="Times New Roman;serif"/>
          <w:b w:val="false"/>
          <w:color w:val="000000"/>
          <w:sz w:val="20"/>
        </w:rPr>
        <w:t xml:space="preserve">. Technology and development decreased by $62 million, or 44%, for the year ended December 31, 2025 compared to the year ended December 31, 2024. The decrease was primarily driven by a $76 million decrease in headcount expenses, including salaries, benefits, and stock-based compensation expenses due to lower headcount consistent with ongoing cost-reduction and organizational streamlining efforts. These cost reductions were partially offset by a $21 million decrease in capitalization of IDSW expenses. </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Restructuring.</w:t>
      </w:r>
      <w:r>
        <w:rPr>
          <w:color w:val="000000"/>
        </w:rPr>
        <w:t xml:space="preserve"> </w:t>
      </w:r>
      <w:r>
        <w:rPr>
          <w:rFonts w:ascii="Times New Roman;serif" w:hAnsi="Times New Roman;serif"/>
          <w:b w:val="false"/>
          <w:color w:val="000000"/>
          <w:sz w:val="20"/>
        </w:rPr>
        <w:t xml:space="preserve">Restructuring decreased by $7 million, or 41%, for the year ended December 31, 2025 compared to the year ended December 31, 2024. The decrease was attributable to higher expenses associated with the Company’s transformation initiatives in 2024 than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Loss on Extinguishment of Debt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increased by $922 million, for the year ended December 31, 2025 compared to the year ended December 31, 2024. The loss on extinguishment of debt of $924 million in the year ended December 31, 2025 resulted primarily from the Company’s partial repurchase of its 2030 Notes.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by $2 million, or 2%, for the year ended December 31, 2025 compared to the year ended December 31, 2024.</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 Net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 net decreased by $22 million for the year ended December 31, 2025 compared to the year ended December 31, 2024. The decrease was primarily related to a $14 million decrease in interest income due to a reduction in interest rates and the average cash, cash equivalents and restricted cash balances, and a $14 million non-recurring gain recognized in 2024 from the deconsolidation of Mainstay. The decrease in Other income – net was partially offset by a $4 million decrease in net loss on marketable equity securities.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changed by a nominal amount for the year ended December 31, 2025 compared to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Year Ended December 31, 2024 Compared to Year Ended December 31, 2023</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years ended December 31, 2024 and 2023:</w:t>
      </w:r>
    </w:p>
    <w:tbl>
      <w:tblPr>
        <w:tblW w:w="7607" w:type="dxa"/>
        <w:jc w:val="left"/>
        <w:tblInd w:w="0" w:type="dxa"/>
        <w:tblLayout w:type="fixed"/>
        <w:tblCellMar>
          <w:top w:w="28" w:type="dxa"/>
          <w:left w:w="28" w:type="dxa"/>
          <w:bottom w:w="28" w:type="dxa"/>
          <w:right w:w="28" w:type="dxa"/>
        </w:tblCellMar>
      </w:tblPr>
      <w:tblGrid>
        <w:gridCol w:w="1163"/>
        <w:gridCol w:w="1021"/>
        <w:gridCol w:w="1025"/>
        <w:gridCol w:w="211"/>
        <w:gridCol w:w="616"/>
        <w:gridCol w:w="109"/>
        <w:gridCol w:w="109"/>
        <w:gridCol w:w="109"/>
        <w:gridCol w:w="109"/>
        <w:gridCol w:w="211"/>
        <w:gridCol w:w="616"/>
        <w:gridCol w:w="109"/>
        <w:gridCol w:w="109"/>
        <w:gridCol w:w="109"/>
        <w:gridCol w:w="109"/>
        <w:gridCol w:w="211"/>
        <w:gridCol w:w="691"/>
        <w:gridCol w:w="109"/>
        <w:gridCol w:w="109"/>
        <w:gridCol w:w="218"/>
        <w:gridCol w:w="218"/>
        <w:gridCol w:w="316"/>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752" w:type="dxa"/>
            <w:gridSpan w:val="3"/>
            <w:tcBorders/>
          </w:tcPr>
          <w:p>
            <w:pPr>
              <w:pStyle w:val="TableContents"/>
              <w:bidi w:val="0"/>
              <w:spacing w:before="0" w:after="283"/>
              <w:jc w:val="left"/>
              <w:rPr>
                <w:sz w:val="4"/>
                <w:szCs w:val="4"/>
              </w:rPr>
            </w:pPr>
            <w:r>
              <w:rPr>
                <w:sz w:val="4"/>
                <w:szCs w:val="4"/>
              </w:rPr>
            </w:r>
          </w:p>
        </w:tc>
      </w:tr>
      <w:tr>
        <w:trPr/>
        <w:tc>
          <w:tcPr>
            <w:tcW w:w="3209"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decreased by $1.8 billion, or 26%, for the year ended December 31, 2024 compared to the year ended December 31, 2023. The decrease in revenue was primarily attributable to lower sales volumes during the year ended December 31, 2024. We sold 13,593 homes during the year ended December 31, 2024, compared to 18,708 homes during the year ended December 31, 2023, representing a decrease of 27%. Revenue per home sold increased 2% between the same periods. The decrease in sales volumes was primarily attributable to proactively slowing inventory acquisitions beginning in the third quarter of 2022 in reaction to volatility in the U.S. housing market coupled with a focus on clearing existing inventory, which had reached peak levels in 2022. The Company entered 2024 with 5,326 homes in inventory as compared to 12,788 homes in inventory at the start of 2023, representing a 58% decrease in homes available for resale.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and Gross Profit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decreased by $1.7 billion, or 27%, for the year ended December 31, 2024 compared to the year ended December 31, 2023. The decrease in cost of revenue was primarily attributable to lower sales volumes.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Gross profit decreased from $487 million to $433 million and gross margin increased from 7.0% to 8.4% for the years ended December 31, 2023 and December 31, 2024, respectively. For the same periods, Adjusted Gross Margin increased from 0.8% to 8.4% and Contribution Margin increased from (3.7)% to 4.7%. The decrease in gross profit was attributable to lower sales volumes as discussed above. The increase in gross margin, Adjusted Gross Margin and Contribution Margin reflects relative home price stabilization and higher spreads embedded in our acquisition offers beginning in the third quarter of 2022. As a reminder, Adjusted Gross Margin and Contribution Margin include inventory valuation adjustments recorded in prior periods on homes sold in the current period and exclude inventory valuation adjustments on homes remaining in inventory at the end of the period, which can create significant differences between these metrics and Gross margin. Adjusted Gross Margin and Contribution Margin for the years ended December 31, 2023 and December 31, 2024 are inclusive of $455 million and $26 million, respectively, of inventory valuation adjustments recorded in prior periods on homes sold in the current period. Adjusted Gross Margin and Contribution Margin are non-GAAP financial measures. See “—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Sales, Marketing and Operations</w:t>
      </w:r>
      <w:r>
        <w:rPr>
          <w:rFonts w:ascii="Times New Roman;serif" w:hAnsi="Times New Roman;serif"/>
          <w:b w:val="false"/>
          <w:color w:val="000000"/>
          <w:sz w:val="20"/>
        </w:rPr>
        <w:t>. Sales, marketing and operations decreased by $73 million, or 15%, for the year ended December 31, 2024 compared to the year ended December 31, 2023. The decrease was primarily attributable to a $65 million decrease in resale transaction costs and broker commissions, consistent with the 26% decrease in revenue during the same period. In addition, during the same period, headcount expenses, including salaries, benefits and stock-based compensation, decreased $21 million, primarily due to workforce reductions and the transition of certain roles to lower-cost geographies. Advertising expense increased by $11 million, from $75 million for the year ended December 31, 2023 to $86 million for the year ended December 31, 2024.</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decreased by $24 million, or 12%, for the year ended December 31, 2024 compared to the year ended December 31, 2023. The decrease was primarily attributable to a $8 million decrease in depreciation expense as we slowed our pace of fixed assets additions and existing assets became fully depreciated. In addition, headcount expenses, including salaries, benefits and stock-based compensation, decreased $8 million, primarily due to workforce reductions and the transition of certain roles to lower-cost geographies. Rent expense decreased by $3 million, driven by partial terminations of leases and subleases.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Technology and Development</w:t>
      </w:r>
      <w:r>
        <w:rPr>
          <w:rFonts w:ascii="Times New Roman;serif" w:hAnsi="Times New Roman;serif"/>
          <w:b w:val="false"/>
          <w:color w:val="000000"/>
          <w:sz w:val="20"/>
        </w:rPr>
        <w:t xml:space="preserve">. Technology and development decreased by $26 million, or 16%, for the year ended December 31, 2024 compared to the year ended December 31, 2023. The decrease was primarily driven by a $39 million reduction in headcount expenses, including salaries, benefits, and stock-based compensation, resulting from workforce reductions and the transition of certain roles to lower-cost geographies. Additionally, amortization of intangibles from past acquisitions declined by $3 million. These cost reductions were partially offset by a $17 million net increase in expenses related to internally developed software, reflecting lower capitalization of development costs and increased amortization expenses, partially offset by a decrease in impairment expense. </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Restructuring. </w:t>
      </w:r>
      <w:r>
        <w:rPr>
          <w:rFonts w:ascii="Times New Roman;serif" w:hAnsi="Times New Roman;serif"/>
          <w:b w:val="false"/>
          <w:color w:val="000000"/>
          <w:sz w:val="20"/>
        </w:rPr>
        <w:t>Restructuring increased by $3 million, or 21%, for the year ended December 31, 2024 compared to the year ended December 31, 2023. The increase was attributable to the Company’s reduction in force announced on November 7, 2024 as well as the termination of certain non-cancelable leases and consulting fees incurred during the restructuring process.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(Loss) Gain on Extinguishment of Debt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 decreased by $218 million for the year ended December 31, 2024 compared to the year ended December 31, 2023. The gain on extinguishment of debt of $216 million in the year ended December 31, 2023 resulted from the Company’s partial repurchase of its 2026 Notes at a discount, net of unamortized deferred costs associated with the 2026 Notes. This gain was partially offset by expenses related to partial debt extinguishments during the year ended December 31, 2023.</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by $78 million, or 37%, for the year ended December 31, 2024 compared to the year ended December 31, 2023. The decrease was primarily attributable to a significant decrease in average balances in our non-recourse asset-backed debt and a decrease in loan fees as a result of committed debt reductions.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 Net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Other income – net decreased by $43 million for the year ended December 31, 2024 compared to the year ended December 31, 2023. The decrease was primarily related to a $53 million decrease in interest income due to a reduction in the average cash, cash equivalents and restricted cash balances and a $7 million unrealized loss versus a $4 million unrealized gain on marketable equity securities during the years ended December 31, 2024 and December 31, 2023, respectively. The decrease was partially offset by the $14 million gain from the deconsolidation of Mainstay. See “</w:t>
      </w:r>
      <w:r>
        <w:rPr>
          <w:rFonts w:ascii="Times New Roman;serif" w:hAnsi="Times New Roman;serif"/>
          <w:b w:val="false"/>
          <w:i/>
          <w:color w:val="000000"/>
          <w:sz w:val="20"/>
        </w:rPr>
        <w:t>Part II – Item 8. Financial Statements and Supplementary Data – Notes to Consolidated Financial Statements – Note 16. Deconsolidation”</w:t>
      </w:r>
      <w:r>
        <w:rPr>
          <w:color w:val="000000"/>
        </w:rPr>
        <w:t xml:space="preserve"> </w:t>
      </w:r>
      <w:r>
        <w:rPr>
          <w:rFonts w:ascii="Times New Roman;serif" w:hAnsi="Times New Roman;serif"/>
          <w:b w:val="false"/>
          <w:color w:val="000000"/>
          <w:sz w:val="20"/>
        </w:rPr>
        <w:t>for additional information regarding the deconsolidation of Mainstay.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changed by a nominal amount for the year ended December 31, 2024 compared to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have historically consisted of cash generated from our operations and from financing activities. As of December 31, 2025, we had cash and cash equivalents of $962 million and restricted cash of $339 million. The increase in our cash, cash equivalents and marketable securities balance of $283 million as compared to December 31, 2024 resulted primarily from approximately $198 million of total cash proceeds, after commissions, from the issuance of common stock under the at-the-market equity offering sales agreement (the “ATM Agreement”), as well as $75 million of gross cash proceeds, excluding certain fees and other offering expenses, from the issuance of convertible senior notes, $41 million of gross cash proceeds from certain PIPE offerings and capital released as a result of a decrease in real estate inventory partially offset by operating losses. The increase in our restricted cash balance of $247 million as compared to December 31, 2024 was primarily due to capital released as a result of a decrease in real estate inventory partially offset by $805 million net principal payments on non-recourse asset-backed debt.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total outstanding balances on our asset-backed debt of $1.1 billion and aggregate principal outstanding from convertible senior notes of $197 million. In addition, we had undrawn borrowing capacity of $6.0 billion under our non-recourse asset-backed debt facilities (as described further below), of which $500 million was committed.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market conditions warrant, we may, from time to time, repurchase our outstanding debt securities in the open market, in privately negotiated transactions, by tender offer, by exchange transaction or otherwise. Such repurchases, if any, will be upon such terms and at such prices as we may determine, and will depend on prevailing market conditions, our liquidity and other factors and may be commenced or suspended at any time. The amounts involved and total consideration paid may be material.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entered into privately negotiated transactions with certain holders of the 0.25% convertible senior notes due in 2026 (the “2026 Notes”) and new investors, pursuant to which the Company issued $325 million aggregate principal amount of 7.00% convertible senior notes due 2030 (the “2030 Notes”; collectively with the 2026 Notes “Convertible Senior Notes”) consisting of (i) $246 million aggregate principal amount of 2030 Notes issued in exchange for $246 million principal amount of 2026 Notes (the “Debt Exchange") and (ii) $79 million aggregate principal amount of 2030 Notes issued for cash. Such transactions resulted in gross cash proceeds of $75 million, excluding certain fees and other offering expenses, and represent an issue price of 95%. The Company accounted for the Debt Exchange of the 2026 Notes as a debt extinguishment and recorded $10 million of gain on debt extinguishment, included within the Company’s consolidated statements of operations. During the third quarter of 2025, the remaining 2026 Notes became due within 12 months of the balance sheet date. Accordingly, the $135 million outstanding principal balance of the 2026 Notes has been classified as a current liability in the consolidated balance sheet as of December 31, 2025.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2030 Notes become convertible during any calendar quarter if, during the 30 consecutive trading days ending on, and including, the last trading day of the immediately preceding calendar quarter, the last reported sale price of the Company’s common stock exceeds 130% of the conversion price for at least 20 trading days. This condition was met during the third and fourth quarter of 2025. Accordingly, the 2030 Notes became convertible at the option of the noteholders on October 1, 2025 and remain convertible through March 31, 2026 and are classified as a current liability in the consolidated balance sheet as of December 31, 2025. See “</w:t>
      </w:r>
      <w:r>
        <w:rPr>
          <w:rFonts w:ascii="Times New Roman;serif" w:hAnsi="Times New Roman;serif"/>
          <w:b w:val="false"/>
          <w:i/>
          <w:color w:val="000000"/>
          <w:sz w:val="20"/>
        </w:rPr>
        <w:t>Part II – Item 8. Financial Statements and Supplementary Data – Notes to Consolidated Financial Statements – Note 5 — Credit Facilities, Long-Term Debt, and Convertible Notes”for additional conversion conditions.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share purchase agreements with a limited number of purchasers (together, the “Purchasers”), providing for the issuance and sale by the Company of an aggregate of 180,580,200 shares of the common stock at a price of $6.56 per share (the “Registered Direct Offering”). Concurrent with the Registered Direct Offering, the Company entered into separate, privately negotiated transactions with the Purchasers, pursuant to which the Company agreed to repurchase an aggregate of approximately $264 million principal amount of the 2030 Notes for an aggregate repurchase price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approximately $1.2 billion, which the Company repurchased using the net proceeds from the Registered Direct Offering (the “Convertible Notes Repurchase”). On a net basis, the Company did not receive any proceeds from these transactions. The Company accounted for the transaction as a debt extinguishment by recognizing the difference between the reacquisition price of the debt and the net carrying amount of the retired 2030 Notes as loss on debt extinguishment. Accordingly, on the retirement date, the Company: (i) reduced the carrying value of the 2030 Notes by $264 million, (ii) reduced outstanding deferred issuance costs and original issuance discount by $16 million, (iii) incurred fees of $4 million and (iv) recorded $933 million of loss on debt extinguishment, included within the Company’s consolidated statements of operations. The outstanding principal balance of the 2030 Notes as of December 31, 2025 is $62 million.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2024, the Company entered into the ATM Agreement with Barclays Capital Inc. and Virtu Americas LLC, as sales agents (the “Agents”), pursuant to which the Company may offer and sell, from time to time, through the Agents, shares of the Company’s common stock having an aggregate offering price of up to $200 million. Under the ATM Agreement, the Agents may sell shares by any method deemed to be an “at-the-market offering.” During the year ended December 31, 2025, the Company issued and sold an aggregate of 21,587,667 shares at a weighted average price of $9.26 per share under the ATM Agreement for total cash proceeds, after commissions, of approximately $198 million.</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On September 10, 2025, the Company closed certain private investment in public equity (“PIPE”) offerings and entered into purchase agreements with accredited investors that resulted in aggregate gross cash proceeds to the Company of approximately $41 million. See “</w:t>
      </w:r>
      <w:r>
        <w:rPr>
          <w:rFonts w:ascii="Times New Roman;serif" w:hAnsi="Times New Roman;serif"/>
          <w:b w:val="false"/>
          <w:i/>
          <w:color w:val="000000"/>
          <w:sz w:val="20"/>
        </w:rPr>
        <w:t xml:space="preserve">Part II – Item 8. Financial Statements and Supplementary Data – Notes to Consolidated Financial Statements – Note 17 — Related Parties” </w:t>
      </w:r>
      <w:r>
        <w:rPr>
          <w:rFonts w:ascii="Times New Roman;serif" w:hAnsi="Times New Roman;serif"/>
          <w:b w:val="false"/>
          <w:color w:val="000000"/>
          <w:sz w:val="20"/>
        </w:rPr>
        <w:t xml:space="preserve">for details regarding the PIPE offerings.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On November 6, 2025, our Board declared a distribution of a dividend in the form of warrants to purchase shares of our common stock, to holders of record as of the close of business on November 18, 2025. The Warrants (as defined herein) are initially exercisable only for cash at the applicable exercise price, subject to the Company’s ability to permit net exercise as provided in the applicable warrant agreement. See “</w:t>
      </w:r>
      <w:r>
        <w:rPr>
          <w:rFonts w:ascii="Times New Roman;serif" w:hAnsi="Times New Roman;serif"/>
          <w:b w:val="false"/>
          <w:i/>
          <w:color w:val="000000"/>
          <w:sz w:val="20"/>
        </w:rPr>
        <w:t>Part II – Item 8. Financial Statements and Supplementary Data – Notes to Consolidated Financial Statements – Note 11 — Shareholders' Equity</w:t>
      </w:r>
      <w:r>
        <w:rPr>
          <w:color w:val="000000"/>
        </w:rPr>
        <w:t>” </w:t>
      </w:r>
      <w:r>
        <w:rPr>
          <w:rFonts w:ascii="Times New Roman;serif" w:hAnsi="Times New Roman;serif"/>
          <w:b w:val="false"/>
          <w:color w:val="000000"/>
          <w:sz w:val="20"/>
        </w:rPr>
        <w:t>to our consolidated financial statements included in this Annual Report on Form 10</w:t>
        <w:noBreakHyphen/>
        <w:t>K for additional details regarding the Warrant Dividend (as defined herein).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incurred losses from inception through December 31, 2025 and we expect to incur additional losses in the future. Our ability to service our debt and fund working capital, business operations and capital expenditures will depend on our ability to generate cash from operating activities, which is subject to our future operating success, and ability to obtain inventory acquisition financing on reasonable terms, which is subject to factors beyond our control, including potential economic recession, rising interest rates, inflation and general economic, political and financial market conditions.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working capital requirements may increase should our inventory balance increase. We believe our cash and cash equivalents, together with cash we expect to generate from future operations and borrowings, will be sufficient to meet our working capital and capital expenditure requirements for a period of at least 12 months from the date of this Annual Report on Form 10-K.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Debt and Financing Arrangements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financing activities include: short-term borrowings under our asset-backed senior revolving credit facilities; the issuance of long-term asset-backed senior term debt, asset-backed mezzanine term debt,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asset-backed facilities are each collateralized by a specified pool of assets, consisting of real estate inventory, restricted cash and equity interests in certain consolidated subsidiaries of Opendoor that directly or indirectly own our real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estate inventory. The terms of our inventory financing facilities require an Opendoor subsidiary to comply with customary financial covenants, such as maintaining certain levels of liquidity, tangible net worth or leverage (ratio of debt to tangible net worth). As of December 31, 2025, the Company was in compliance with all financial covenants.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asset-backed senior debt facilities generally provide for advance rates of 75% to 90% against our cost basis in the underlying properties upon acquisition. Our mezzanine term facilities may finance up to 95% to 100% of our cost basis in the 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would be required to keep amounts in restricted cash accounts to collateralize our asset-backed term debt facilities if the property borrowing base is insufficient to satisfy the borrowing base requirements or if the value of the assets of a certain Opendoor subsidiary declines below certain levels. If these events occur, we may utilize other available credit facilities for our cash needs, potentially at higher interest rates. The amounts required to be kept in restricted cash accounts may fluctuate due to seasonality, timing of property acquisitions and resales, and the outstanding loan balances under our asset-backed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details related to our non-recourse asset-backed debt as of December 31, 2025 (in millions, except interest rates):</w:t>
      </w:r>
    </w:p>
    <w:tbl>
      <w:tblPr>
        <w:tblW w:w="10205" w:type="dxa"/>
        <w:jc w:val="left"/>
        <w:tblInd w:w="0" w:type="dxa"/>
        <w:tblLayout w:type="fixed"/>
        <w:tblCellMar>
          <w:top w:w="28" w:type="dxa"/>
          <w:left w:w="28" w:type="dxa"/>
          <w:bottom w:w="28" w:type="dxa"/>
          <w:right w:w="28" w:type="dxa"/>
        </w:tblCellMar>
      </w:tblPr>
      <w:tblGrid>
        <w:gridCol w:w="764"/>
        <w:gridCol w:w="546"/>
        <w:gridCol w:w="529"/>
        <w:gridCol w:w="109"/>
        <w:gridCol w:w="109"/>
        <w:gridCol w:w="109"/>
        <w:gridCol w:w="201"/>
        <w:gridCol w:w="572"/>
        <w:gridCol w:w="113"/>
        <w:gridCol w:w="109"/>
        <w:gridCol w:w="109"/>
        <w:gridCol w:w="109"/>
        <w:gridCol w:w="196"/>
        <w:gridCol w:w="406"/>
        <w:gridCol w:w="109"/>
        <w:gridCol w:w="109"/>
        <w:gridCol w:w="109"/>
        <w:gridCol w:w="109"/>
        <w:gridCol w:w="239"/>
        <w:gridCol w:w="678"/>
        <w:gridCol w:w="134"/>
        <w:gridCol w:w="109"/>
        <w:gridCol w:w="109"/>
        <w:gridCol w:w="109"/>
        <w:gridCol w:w="297"/>
        <w:gridCol w:w="259"/>
        <w:gridCol w:w="460"/>
        <w:gridCol w:w="109"/>
        <w:gridCol w:w="109"/>
        <w:gridCol w:w="109"/>
        <w:gridCol w:w="548"/>
        <w:gridCol w:w="548"/>
        <w:gridCol w:w="550"/>
        <w:gridCol w:w="109"/>
        <w:gridCol w:w="109"/>
        <w:gridCol w:w="109"/>
        <w:gridCol w:w="354"/>
        <w:gridCol w:w="303"/>
        <w:gridCol w:w="437"/>
      </w:tblGrid>
      <w:tr>
        <w:trPr/>
        <w:tc>
          <w:tcPr>
            <w:tcW w:w="7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Borrowing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End of Revolving / Withdrawal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Final Maturity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1, 2027</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3, 2028</w:t>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August 24, 2027</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10, 2026</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2027</w:t>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Mezzanine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2020-M1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2029</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1, 2027</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Revolving Credit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the senior revolving credit facilities as current liabilities on our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December 31, 2025, we had committed borrowing capacity with respect to asset-backed senior revolving credit facilities of $400 million.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revolving period end dates and final maturity dates reflected in the table above are inclusive of any extensions that are at the sole discretion of the Company. Certain of our asset-backed senior revolving credit facilities may also have additional extension options that are subject to lender approval that are not reflected in the table above.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our senior term debt facilities as current or non-current liabilities in our consolidated balance sheets based on the applicable final maturity date. The carrying value of the non-current liabilities is reduced by issuance costs of $3 million. In some cases, the borrowing capacity amounts under the asset-backed senior term debt facilities as reflected in the table are not fully committed and any borrowings above the committed amounts are subject to the applicable lender’s discretion. As of December 31, 2025, we had committed borrowing capacity with respect to asset-backed senior term debt facilities of $777 million.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withdrawal period end dates and final maturity dates reflected in the table above are inclusive of any extensions that are at the sole discretion of the Company. Certain of our asset-backed senior term debt facilities may also have additional extension options that are subject to lender approval that are not reflected in the table above.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Mezzanine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December 31, 2025, we had committed borrowing capacity with respect to asset-backed mezzanine term debt facilities of $450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2021, we issued the 2026 Notes and in May 2025, we issued the 2030 Notes. The table below summarizes certain details related to our Convertible Senior Notes (in millions), as of December 31, 2025:</w:t>
      </w:r>
    </w:p>
    <w:tbl>
      <w:tblPr>
        <w:tblW w:w="10205" w:type="dxa"/>
        <w:jc w:val="left"/>
        <w:tblInd w:w="0" w:type="dxa"/>
        <w:tblLayout w:type="fixed"/>
        <w:tblCellMar>
          <w:top w:w="28" w:type="dxa"/>
          <w:left w:w="28" w:type="dxa"/>
          <w:bottom w:w="28" w:type="dxa"/>
          <w:right w:w="28" w:type="dxa"/>
        </w:tblCellMar>
      </w:tblPr>
      <w:tblGrid>
        <w:gridCol w:w="858"/>
        <w:gridCol w:w="709"/>
        <w:gridCol w:w="707"/>
        <w:gridCol w:w="109"/>
        <w:gridCol w:w="109"/>
        <w:gridCol w:w="109"/>
        <w:gridCol w:w="670"/>
        <w:gridCol w:w="1486"/>
        <w:gridCol w:w="350"/>
        <w:gridCol w:w="109"/>
        <w:gridCol w:w="109"/>
        <w:gridCol w:w="109"/>
        <w:gridCol w:w="844"/>
        <w:gridCol w:w="1625"/>
        <w:gridCol w:w="440"/>
        <w:gridCol w:w="109"/>
        <w:gridCol w:w="109"/>
        <w:gridCol w:w="109"/>
        <w:gridCol w:w="388"/>
        <w:gridCol w:w="857"/>
        <w:gridCol w:w="290"/>
      </w:tblGrid>
      <w:tr>
        <w:trPr/>
        <w:tc>
          <w:tcPr>
            <w:tcW w:w="8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Remaining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Discount and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Times New Roman;serif" w:hAnsi="Times New Roman;serif"/>
          <w:b w:val="false"/>
          <w:color w:val="000000"/>
          <w:sz w:val="20"/>
        </w:rPr>
        <w:t>See “</w:t>
      </w:r>
      <w:r>
        <w:rPr>
          <w:rFonts w:ascii="Times New Roman;serif" w:hAnsi="Times New Roman;serif"/>
          <w:b w:val="false"/>
          <w:i/>
          <w:color w:val="000000"/>
          <w:sz w:val="20"/>
        </w:rPr>
        <w:t>Part II – Item 8. Financial Statements and Supplementary Data – Notes to Consolidated Financial Statements – Note 5. Credit Facilities, Long-Term Debt, and Convertible Notes</w:t>
      </w:r>
      <w:r>
        <w:rPr>
          <w:color w:val="000000"/>
        </w:rPr>
        <w:t xml:space="preserve">” </w:t>
      </w:r>
      <w:r>
        <w:rPr>
          <w:rFonts w:ascii="Times New Roman;serif" w:hAnsi="Times New Roman;serif"/>
          <w:b w:val="false"/>
          <w:color w:val="000000"/>
          <w:sz w:val="20"/>
        </w:rPr>
        <w:t>for additional information regarding our debt and financing arrangements.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Special Purpose Entities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pPr>
      <w:r>
        <w:rPr>
          <w:color w:val="000000"/>
        </w:rPr>
        <w:t>“</w:t>
      </w:r>
      <w:r>
        <w:rPr>
          <w:rFonts w:ascii="Times New Roman;serif" w:hAnsi="Times New Roman;serif"/>
          <w:b w:val="false"/>
          <w:i/>
          <w:color w:val="000000"/>
          <w:sz w:val="20"/>
        </w:rPr>
        <w:t>Part II – Item 8. Financial Statements and Supplementary Data – Notes to Consolidated Financial Statements – Note 4. Variable Interest Entities</w:t>
      </w:r>
      <w:r>
        <w:rPr>
          <w:color w:val="000000"/>
        </w:rPr>
        <w:t xml:space="preserve">” </w:t>
      </w:r>
      <w:r>
        <w:rPr>
          <w:rFonts w:ascii="Times New Roman;serif" w:hAnsi="Times New Roman;serif"/>
          <w:b w:val="false"/>
          <w:color w:val="000000"/>
          <w:sz w:val="20"/>
        </w:rPr>
        <w:t xml:space="preserve">for additional information regarding our VIEs.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related to the VIEs consolidated by the Company as well as the assets, liabilities and equity related to Opendoor Technologies Inc (Parent Company Only) (“Parent Company”) and subsidiaries that are not VIEs, as of December 31, 2025 (in millions):</w:t>
      </w:r>
    </w:p>
    <w:tbl>
      <w:tblPr>
        <w:tblW w:w="7734" w:type="dxa"/>
        <w:jc w:val="left"/>
        <w:tblInd w:w="0" w:type="dxa"/>
        <w:tblLayout w:type="fixed"/>
        <w:tblCellMar>
          <w:top w:w="28" w:type="dxa"/>
          <w:left w:w="28" w:type="dxa"/>
          <w:bottom w:w="28" w:type="dxa"/>
          <w:right w:w="28" w:type="dxa"/>
        </w:tblCellMar>
      </w:tblPr>
      <w:tblGrid>
        <w:gridCol w:w="1411"/>
        <w:gridCol w:w="1242"/>
        <w:gridCol w:w="1247"/>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Escrow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asset-backed senior 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asset-backed mezzanine 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asset-backed senior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Company’s consolidated Other Assets include the following assets as shown in the Consolidated Balance Sheets: Property and Equipment – Net, $27 million; Right of Use Assets, $8 million; Goodwill, $3 million; and Other Assets, $70 million.</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Company’s consolidated Other Current Liabilities include the following liabilities as shown in the Consolidated Balance Sheets: Accounts Payable and Other Accrued Liabilities, $80 million; Interest Payable, $1 million; and Lease Liabilities – Current, $1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years ended December 31, 2025, 2024 and 2023:</w:t>
      </w:r>
    </w:p>
    <w:tbl>
      <w:tblPr>
        <w:tblW w:w="9444" w:type="dxa"/>
        <w:jc w:val="left"/>
        <w:tblInd w:w="0" w:type="dxa"/>
        <w:tblLayout w:type="fixed"/>
        <w:tblCellMar>
          <w:top w:w="28" w:type="dxa"/>
          <w:left w:w="28" w:type="dxa"/>
          <w:bottom w:w="28" w:type="dxa"/>
          <w:right w:w="28" w:type="dxa"/>
        </w:tblCellMar>
      </w:tblPr>
      <w:tblGrid>
        <w:gridCol w:w="2033"/>
        <w:gridCol w:w="1785"/>
        <w:gridCol w:w="1792"/>
        <w:gridCol w:w="109"/>
        <w:gridCol w:w="109"/>
        <w:gridCol w:w="109"/>
        <w:gridCol w:w="211"/>
        <w:gridCol w:w="616"/>
        <w:gridCol w:w="109"/>
        <w:gridCol w:w="109"/>
        <w:gridCol w:w="109"/>
        <w:gridCol w:w="109"/>
        <w:gridCol w:w="211"/>
        <w:gridCol w:w="541"/>
        <w:gridCol w:w="109"/>
        <w:gridCol w:w="109"/>
        <w:gridCol w:w="109"/>
        <w:gridCol w:w="109"/>
        <w:gridCol w:w="211"/>
        <w:gridCol w:w="691"/>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10"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1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Cash Provided by (Used in) Operating Activities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was $1.0 billion, $(595) million and $2.3 billion for the years ended December 31, 2025, 2024 and 2023, respectively. For the year ended December 31, 2025, cash provided by operating activities was primarily driven by a $1.2 billion decrease in real estate inventory, partially offset by our net loss, net of non-cash items, of $106 million. For the year ended December 31, 2024, cash used in operating activities was primarily driven by a $449 million increase in real estate inventory and our net loss, net of non-cash items, of $168 million. For the year ended December 31, 2023, cash provided by operating activities was primarily driven by a $2.6 billion decrease in real estate inventory, partially offset by our net loss, net of non-cash items, of $214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Cash (Used in) Provided by Investing Activities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investing activities was $(12) million, $28 million and $44 million for the years ended December 31, 2025, 2024 and 2023, respectively. For the year ended December 31, 2025, cash used in investing activities consisted of a $12 million increase in property and equipment principally related to the capitalization of IDSW, as well as a $6 million increase in non-marketable equity securities, partially offset by a decrease in marketable securities of $6 million. For the year ended December 31, 2024, cash provided by investing activities primarily consisted of a $55 million decrease in marketable securities, partially offset by a $25 million increase in property and equipment principally related to the capitalization of IDSW. For the year ended December 31, 2023, cash provided by investing activities primarily consisted of a $80 million net decrease in marketable securities, partially offset by a $37 million increase in property and equipment principally related to the capitalization of IDSW.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Cash Used in Financing Activities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$(499) million, $(210) million and $(2.6) billion for the years ended December 31, 2025, 2024 and 2023, respectively. For the year ended December 31, 2025, cash used in financing activities was primarily attributable to $805 million net principal payments on non-recourse asset-backed debt, partially offset by approximately $198 million of total cash proceeds, after commissions, from the issuance of common stock under the ATM Agreement, as well as $75 million of proceeds from the issuance of convertible senior notes, net of discount, and $41 million of proceeds from certain PIPE offerings. For the year ended December 31, 2024, cash used in financing activities was primarily attributable to $217 million net principal payments on non-recourse asset-backed debt. For the year ended December 31, 2023, cash used in financing activities was primarily attributable to $2.3 billion net principal payments on non-recourse asset-backed debt, as well as $362 million related to the partial repurchase of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Contractual obligations are cash amounts that we are obligated to pay as part of certain contracts that we have entered into during the normal course of business. Below is a table that shows our material contractual obligations as of December 31, 2025:</w:t>
      </w:r>
    </w:p>
    <w:tbl>
      <w:tblPr>
        <w:tblW w:w="9312" w:type="dxa"/>
        <w:jc w:val="left"/>
        <w:tblInd w:w="0" w:type="dxa"/>
        <w:tblLayout w:type="fixed"/>
        <w:tblCellMar>
          <w:top w:w="28" w:type="dxa"/>
          <w:left w:w="28" w:type="dxa"/>
          <w:bottom w:w="28" w:type="dxa"/>
          <w:right w:w="28" w:type="dxa"/>
        </w:tblCellMar>
      </w:tblPr>
      <w:tblGrid>
        <w:gridCol w:w="1315"/>
        <w:gridCol w:w="1154"/>
        <w:gridCol w:w="1161"/>
        <w:gridCol w:w="211"/>
        <w:gridCol w:w="616"/>
        <w:gridCol w:w="109"/>
        <w:gridCol w:w="109"/>
        <w:gridCol w:w="109"/>
        <w:gridCol w:w="109"/>
        <w:gridCol w:w="211"/>
        <w:gridCol w:w="466"/>
        <w:gridCol w:w="109"/>
        <w:gridCol w:w="109"/>
        <w:gridCol w:w="109"/>
        <w:gridCol w:w="109"/>
        <w:gridCol w:w="233"/>
        <w:gridCol w:w="516"/>
        <w:gridCol w:w="120"/>
        <w:gridCol w:w="109"/>
        <w:gridCol w:w="109"/>
        <w:gridCol w:w="109"/>
        <w:gridCol w:w="233"/>
        <w:gridCol w:w="516"/>
        <w:gridCol w:w="120"/>
        <w:gridCol w:w="109"/>
        <w:gridCol w:w="109"/>
        <w:gridCol w:w="109"/>
        <w:gridCol w:w="250"/>
        <w:gridCol w:w="482"/>
        <w:gridCol w:w="182"/>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Due by Year</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Less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More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 years</w:t>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and mezzanine term debt facilities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commitments</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principal amounts outstanding as of December 31, 2025 and estimated interest payments assuming the principal balances remain outstanding until maturity. The final maturity dates of the senior and mezzanine term debt facilities vary, as discussed above.</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principal amounts outstanding and interest payments for the 2026 Notes through maturity and the principal amounts outstanding for the 2030 Notes assuming conversion within one year (noteholders may convert through March 31, 2026). The 2030 Notes mature on May 15, 2030; assuming no conversions, total future cash outflows would be as follows:</w:t>
      </w:r>
    </w:p>
    <w:tbl>
      <w:tblPr>
        <w:tblW w:w="7647" w:type="dxa"/>
        <w:jc w:val="left"/>
        <w:tblInd w:w="0" w:type="dxa"/>
        <w:tblLayout w:type="fixed"/>
        <w:tblCellMar>
          <w:top w:w="28" w:type="dxa"/>
          <w:left w:w="28" w:type="dxa"/>
          <w:bottom w:w="28" w:type="dxa"/>
          <w:right w:w="28" w:type="dxa"/>
        </w:tblCellMar>
      </w:tblPr>
      <w:tblGrid>
        <w:gridCol w:w="764"/>
        <w:gridCol w:w="671"/>
        <w:gridCol w:w="679"/>
        <w:gridCol w:w="211"/>
        <w:gridCol w:w="466"/>
        <w:gridCol w:w="109"/>
        <w:gridCol w:w="109"/>
        <w:gridCol w:w="109"/>
        <w:gridCol w:w="109"/>
        <w:gridCol w:w="211"/>
        <w:gridCol w:w="466"/>
        <w:gridCol w:w="109"/>
        <w:gridCol w:w="109"/>
        <w:gridCol w:w="109"/>
        <w:gridCol w:w="109"/>
        <w:gridCol w:w="318"/>
        <w:gridCol w:w="386"/>
        <w:gridCol w:w="165"/>
        <w:gridCol w:w="109"/>
        <w:gridCol w:w="109"/>
        <w:gridCol w:w="109"/>
        <w:gridCol w:w="269"/>
        <w:gridCol w:w="461"/>
        <w:gridCol w:w="140"/>
        <w:gridCol w:w="109"/>
        <w:gridCol w:w="109"/>
        <w:gridCol w:w="109"/>
        <w:gridCol w:w="250"/>
        <w:gridCol w:w="482"/>
        <w:gridCol w:w="182"/>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Due by Year</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Less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More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 years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future payments for long-term operating leases that have commenced, or have been executed but not yet commenced, as of December 31, 2025. In May 2025, the Company amended its Tempe, Arizona office lease to terminate the Company’s obligations with respect to a portion of the leased premises, which resulted in a decrease of undiscounted, future lease payments of $10 million.</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As of December 31, 2025, we were under contract to purchase 710 homes for an aggregate purchase price of $248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Based on this definition, we have identified the critical accounting policy and estimate addressed below. In addition, we have other key accounting policies and estimates that are described in “</w:t>
      </w:r>
      <w:r>
        <w:rPr>
          <w:rFonts w:ascii="Times New Roman;serif" w:hAnsi="Times New Roman;serif"/>
          <w:b w:val="false"/>
          <w:i/>
          <w:color w:val="000000"/>
          <w:sz w:val="20"/>
        </w:rPr>
        <w:t>Part II – Item 8. Financial Statements and Supplementary Data – Notes to Consolidated Financial Statements – Note 1. Description of Business and Accounting Policies”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Real Estate Inventory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inventory carrying value is equal to the lower of cost or net realizable value and each home constitutes the unit of account. Real estate inventory cost includes but is not limited to the property purchase price, acquisition costs and direct costs to renovate or repair the home, less inventory valuation adjustments, if any. The property purchase price is net of our service fee and represents the cash proceeds paid to the home seller. Real estate inventory is reviewed for valuation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 quarterly basis. If the carrying amount for a given home is not expected to be recovered, an inventory valuation adjustment is recorded to cost of revenue and the home’s carrying value is adjusted to its net realizable value. Inventory valuation adjustments are not offset by any expected gains and are not reversed or adjusted should the expected net realizable value subsequently increase. For homes under resale contract, the net realizable value is the contract price less expected selling costs and any expected concessions. For homes listed for sale and not under resale contract, net realizable value is management’s forecasted resale price, less expected selling costs. Changes in our pricing assumptions may lead to a change in the outcome of our inventory valuation adjustment, and actual results may also differ from our assumptions.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For information on recent accounting standards, see “</w:t>
      </w:r>
      <w:r>
        <w:rPr>
          <w:rFonts w:ascii="Times New Roman;serif" w:hAnsi="Times New Roman;serif"/>
          <w:b w:val="false"/>
          <w:i/>
          <w:color w:val="000000"/>
          <w:sz w:val="20"/>
        </w:rPr>
        <w:t>Part II – Item 8. Financial Statements and Supplementary Data – Notes to Consolidated Financial Statements – Note 1. Description of Business and Accounting Policies”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consist of fluctuations in interest rates and exposure to inflationary pressures.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are subject to market risk by way of changes in interest rates on borrowings under our inventory financing facilities. As of December 31, 2025, we had total outstanding balances on our asset-backed debt of $1.1 billion, 91% of which was based on a fixed rate with an average duration of 1.8 years and the remaining 9% of which was based on a floating rate. Total property financing interest expense for the year ended December 31, 2025 was $102 million, of which $89 million was fixed and $13 million was floating.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benchmark rate floors. See “</w:t>
      </w:r>
      <w:r>
        <w:rPr>
          <w:rFonts w:ascii="Times New Roman;serif" w:hAnsi="Times New Roman;serif"/>
          <w:b w:val="false"/>
          <w:i/>
          <w:color w:val="000000"/>
          <w:sz w:val="20"/>
        </w:rPr>
        <w:t>Part II – Item 8. Financial Statements and Supplementary Data – Notes to Consolidated Financial Statements – Note 5. Credit Facilities, Long-Term Debt, and Convertible Notes</w:t>
      </w:r>
      <w:r>
        <w:rPr>
          <w:color w:val="000000"/>
        </w:rPr>
        <w:t xml:space="preserve">” </w:t>
      </w:r>
      <w:r>
        <w:rPr>
          <w:rFonts w:ascii="Times New Roman;serif" w:hAnsi="Times New Roman;serif"/>
          <w:b w:val="false"/>
          <w:color w:val="000000"/>
          <w:sz w:val="20"/>
        </w:rPr>
        <w:t xml:space="preserve">for additional information regarding our inventory financing facilities and fixed and floating interest rates. Assuming no change in the outstanding borrowings on our credit facilities, we estimate that a one percentage point increase in applicable benchmark rates would increase our annual interest expense by approximately $1 million as of December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the inflation experienced in recent years has impacted the cost of goods and services that we consume, such as labor and materials costs for home repairs. Moreover, the current U.S. presidential administration has implemented tariffs on imports from a number of countries, and has proposed or announced tariffs on goods from numerous additional countries and other trade policies intended to restrict imports, which may further increase the cost and the scarcity of materials used for home repairs. We endeavor to offset these impacts in our business by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 response to persistent inflationary pressures in the U.S., the Federal Reserve implemented a number of increases to the federal funds rate in 2022 and 2023. Despite the Federal Reserve’s rate reductions in 2024 and 2025, the federal funds rate remains elevated compared to recent historical levels. Higher interest rates contribute to increased mortgage rates, which reduce home affordability and can lead to lower transaction volumes, extended holding periods, and increased holding and financing costs for our owned inventory. See “</w:t>
      </w:r>
      <w:r>
        <w:rPr>
          <w:rFonts w:ascii="Times New Roman;serif" w:hAnsi="Times New Roman;serif"/>
          <w:b w:val="false"/>
          <w:i/>
          <w:color w:val="000000"/>
          <w:sz w:val="20"/>
        </w:rPr>
        <w:t>Part II – Item 7. Management’s Discussion and Analysis of Financial Condition and Results of Operations – Current Housing Environment</w:t>
      </w:r>
      <w:r>
        <w:rPr>
          <w:color w:val="000000"/>
        </w:rPr>
        <w:t xml:space="preserve">” </w:t>
      </w:r>
      <w:r>
        <w:rPr>
          <w:rFonts w:ascii="Times New Roman;serif" w:hAnsi="Times New Roman;serif"/>
          <w:b w:val="false"/>
          <w:color w:val="000000"/>
          <w:sz w:val="20"/>
        </w:rPr>
        <w:t>for a further discussion of the impact of the elevated federal funds rate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5908" w:type="dxa"/>
        <w:jc w:val="left"/>
        <w:tblInd w:w="0" w:type="dxa"/>
        <w:tblLayout w:type="fixed"/>
        <w:tblCellMar>
          <w:top w:w="28" w:type="dxa"/>
          <w:left w:w="28" w:type="dxa"/>
          <w:bottom w:w="28" w:type="dxa"/>
          <w:right w:w="28" w:type="dxa"/>
        </w:tblCellMar>
      </w:tblPr>
      <w:tblGrid>
        <w:gridCol w:w="1835"/>
        <w:gridCol w:w="1613"/>
        <w:gridCol w:w="1622"/>
        <w:gridCol w:w="109"/>
        <w:gridCol w:w="109"/>
        <w:gridCol w:w="109"/>
        <w:gridCol w:w="149"/>
        <w:gridCol w:w="149"/>
        <w:gridCol w:w="213"/>
      </w:tblGrid>
      <w:tr>
        <w:trPr/>
        <w:tc>
          <w:tcPr>
            <w:tcW w:w="183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left"/>
              <w:rPr/>
            </w:pPr>
            <w:hyperlink w:anchor="i1aca5f4767c9461895b71eac8785f0af_94">
              <w:r>
                <w:rPr>
                  <w:rStyle w:val="InternetLink"/>
                  <w:rFonts w:ascii="Times New Roman;serif" w:hAnsi="Times New Roman;serif"/>
                  <w:b w:val="false"/>
                  <w:color w:val="0000FF"/>
                  <w:sz w:val="20"/>
                  <w:u w:val="single"/>
                </w:rPr>
                <w:t>Report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hyperlink w:anchor="i1aca5f4767c9461895b71eac8785f0af_94">
              <w:r>
                <w:rPr>
                  <w:rStyle w:val="InternetLink"/>
                  <w:rFonts w:ascii="Times New Roman;serif" w:hAnsi="Times New Roman;serif"/>
                  <w:b w:val="false"/>
                  <w:color w:val="0000FF"/>
                  <w:sz w:val="20"/>
                  <w:u w:val="single"/>
                </w:rPr>
                <w:t>74</w:t>
              </w:r>
            </w:hyperlink>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pPr>
            <w:hyperlink w:anchor="i1aca5f4767c9461895b71eac8785f0af_97">
              <w:r>
                <w:rPr>
                  <w:rStyle w:val="InternetLink"/>
                  <w:rFonts w:ascii="Times New Roman;serif" w:hAnsi="Times New Roman;serif"/>
                  <w:b w:val="false"/>
                  <w:color w:val="0000FF"/>
                  <w:sz w:val="20"/>
                  <w:u w:val="single"/>
                </w:rPr>
                <w:t>Consolidated Balance Sheets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right"/>
              <w:rPr/>
            </w:pPr>
            <w:hyperlink w:anchor="i1aca5f4767c9461895b71eac8785f0af_97">
              <w:r>
                <w:rPr>
                  <w:rStyle w:val="InternetLink"/>
                  <w:rFonts w:ascii="Times New Roman;serif" w:hAnsi="Times New Roman;serif"/>
                  <w:b w:val="false"/>
                  <w:color w:val="0000FF"/>
                  <w:sz w:val="20"/>
                  <w:u w:val="single"/>
                </w:rPr>
                <w:t>76</w:t>
              </w:r>
            </w:hyperlink>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pPr>
            <w:hyperlink w:anchor="i1aca5f4767c9461895b71eac8785f0af_100">
              <w:r>
                <w:rPr>
                  <w:rStyle w:val="InternetLink"/>
                  <w:rFonts w:ascii="Times New Roman;serif" w:hAnsi="Times New Roman;serif"/>
                  <w:b w:val="false"/>
                  <w:color w:val="0000FF"/>
                  <w:sz w:val="20"/>
                  <w:u w:val="single"/>
                </w:rPr>
                <w:t>Consolidated Statements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aca5f4767c9461895b71eac8785f0af_100">
              <w:r>
                <w:rPr>
                  <w:rStyle w:val="InternetLink"/>
                  <w:rFonts w:ascii="Times New Roman;serif" w:hAnsi="Times New Roman;serif"/>
                  <w:b w:val="false"/>
                  <w:color w:val="0000FF"/>
                  <w:sz w:val="20"/>
                  <w:u w:val="single"/>
                </w:rPr>
                <w:t>77</w:t>
              </w:r>
            </w:hyperlink>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pPr>
            <w:hyperlink w:anchor="i1aca5f4767c9461895b71eac8785f0af_103">
              <w:r>
                <w:rPr>
                  <w:rStyle w:val="InternetLink"/>
                  <w:rFonts w:ascii="Times New Roman;serif" w:hAnsi="Times New Roman;serif"/>
                  <w:b w:val="false"/>
                  <w:color w:val="0000FF"/>
                  <w:sz w:val="20"/>
                  <w:u w:val="single"/>
                </w:rPr>
                <w:t>Consolidated Statements of Comprehensive Loss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aca5f4767c9461895b71eac8785f0af_103">
              <w:r>
                <w:rPr>
                  <w:rStyle w:val="InternetLink"/>
                  <w:rFonts w:ascii="Times New Roman;serif" w:hAnsi="Times New Roman;serif"/>
                  <w:b w:val="false"/>
                  <w:color w:val="0000FF"/>
                  <w:sz w:val="20"/>
                  <w:u w:val="single"/>
                </w:rPr>
                <w:t>78</w:t>
              </w:r>
            </w:hyperlink>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aca5f4767c9461895b71eac8785f0af_106">
              <w:r>
                <w:rPr>
                  <w:rStyle w:val="InternetLink"/>
                  <w:rFonts w:ascii="Times New Roman;serif" w:hAnsi="Times New Roman;serif"/>
                  <w:b w:val="false"/>
                  <w:color w:val="0000FF"/>
                  <w:sz w:val="20"/>
                  <w:u w:val="single"/>
                </w:rPr>
                <w:t>Consolidated Statements of Changes in Shareholders’ Equity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right"/>
              <w:rPr/>
            </w:pPr>
            <w:hyperlink w:anchor="i1aca5f4767c9461895b71eac8785f0af_106">
              <w:r>
                <w:rPr>
                  <w:rStyle w:val="InternetLink"/>
                  <w:rFonts w:ascii="Times New Roman;serif" w:hAnsi="Times New Roman;serif"/>
                  <w:b w:val="false"/>
                  <w:color w:val="0000FF"/>
                  <w:sz w:val="20"/>
                  <w:u w:val="single"/>
                </w:rPr>
                <w:t>79</w:t>
              </w:r>
            </w:hyperlink>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pPr>
            <w:hyperlink w:anchor="i1aca5f4767c9461895b71eac8785f0af_109">
              <w:r>
                <w:rPr>
                  <w:rStyle w:val="InternetLink"/>
                  <w:rFonts w:ascii="Times New Roman;serif" w:hAnsi="Times New Roman;serif"/>
                  <w:b w:val="false"/>
                  <w:color w:val="0000FF"/>
                  <w:sz w:val="20"/>
                  <w:u w:val="single"/>
                </w:rPr>
                <w:t>Consolidated Statements of Cash Flows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right"/>
              <w:rPr/>
            </w:pPr>
            <w:hyperlink w:anchor="i1aca5f4767c9461895b71eac8785f0af_109">
              <w:r>
                <w:rPr>
                  <w:rStyle w:val="InternetLink"/>
                  <w:rFonts w:ascii="Times New Roman;serif" w:hAnsi="Times New Roman;serif"/>
                  <w:b w:val="false"/>
                  <w:color w:val="0000FF"/>
                  <w:sz w:val="20"/>
                  <w:u w:val="single"/>
                </w:rPr>
                <w:t>80</w:t>
              </w:r>
            </w:hyperlink>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pPr>
            <w:hyperlink w:anchor="i1aca5f4767c9461895b71eac8785f0af_112">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right"/>
              <w:rPr/>
            </w:pPr>
            <w:hyperlink w:anchor="i1aca5f4767c9461895b71eac8785f0af_112">
              <w:r>
                <w:rPr>
                  <w:rStyle w:val="InternetLink"/>
                  <w:rFonts w:ascii="Times New Roman;serif" w:hAnsi="Times New Roman;serif"/>
                  <w:b w:val="false"/>
                  <w:color w:val="0000FF"/>
                  <w:sz w:val="20"/>
                  <w:u w:val="single"/>
                </w:rPr>
                <w:t>82</w:t>
              </w:r>
            </w:hyperlink>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SCHEDULE I</w:t>
      </w:r>
    </w:p>
    <w:tbl>
      <w:tblPr>
        <w:tblW w:w="8218" w:type="dxa"/>
        <w:jc w:val="left"/>
        <w:tblInd w:w="0" w:type="dxa"/>
        <w:tblLayout w:type="fixed"/>
        <w:tblCellMar>
          <w:top w:w="28" w:type="dxa"/>
          <w:left w:w="28" w:type="dxa"/>
          <w:bottom w:w="28" w:type="dxa"/>
          <w:right w:w="28" w:type="dxa"/>
        </w:tblCellMar>
      </w:tblPr>
      <w:tblGrid>
        <w:gridCol w:w="2674"/>
        <w:gridCol w:w="2350"/>
        <w:gridCol w:w="2356"/>
        <w:gridCol w:w="109"/>
        <w:gridCol w:w="109"/>
        <w:gridCol w:w="109"/>
        <w:gridCol w:w="149"/>
        <w:gridCol w:w="149"/>
        <w:gridCol w:w="213"/>
      </w:tblGrid>
      <w:tr>
        <w:trPr/>
        <w:tc>
          <w:tcPr>
            <w:tcW w:w="2674"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1aca5f4767c9461895b71eac8785f0af_187">
              <w:r>
                <w:rPr>
                  <w:rStyle w:val="InternetLink"/>
                  <w:rFonts w:ascii="Times New Roman;serif" w:hAnsi="Times New Roman;serif"/>
                  <w:b w:val="false"/>
                  <w:color w:val="0000FF"/>
                  <w:sz w:val="20"/>
                  <w:u w:val="single"/>
                </w:rPr>
                <w:t>Condensed Financial Information of Opendoor Technologies Inc. (Parent Company Only)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hyperlink w:anchor="i1aca5f4767c9461895b71eac8785f0af_187">
              <w:r>
                <w:rPr>
                  <w:rStyle w:val="InternetLink"/>
                  <w:rFonts w:ascii="Times New Roman;serif" w:hAnsi="Times New Roman;serif"/>
                  <w:b w:val="false"/>
                  <w:color w:val="0000FF"/>
                  <w:sz w:val="20"/>
                  <w:u w:val="single"/>
                </w:rPr>
                <w:t>118</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Opendoor Technologies Inc. and subsidiaries (the “Company”) as of December 31, 2025 and 2024, the related consolidated statements of operations, comprehensive loss, shareholders’ equity, and cash flows, for each of the three years in the period ended December 31, 2025, and the related notes and Schedule I listed in the Index at Item 8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240" w:after="283"/>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19, 2026, expressed an unqualified opinion on the Company’s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and Risk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Real Estate Inventory, Net – Refer to Notes 1 and 2 to the financial statements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 net includes a valuation adjustment to record real estate inventory at the lower of cost or net realizable value. The Company applies the specific identification method whereby each home constitutes a unit of account. If the carrying amount or basis of inventory is not expected to be recovered, an inventory valuation adjustment is recorded to cost of revenue and the related assets are adjusted to their net realizable value. For homes under resale contract, the net realizable value is the contract price less expected selling costs and any expected concessions. For homes listed for sale and not under resale contract, net realizable value is management’s forecasted resale price less expected selling costs. The determination of net realizable value for homes listed for sale and not under resale contract requires management to make significant estimates related to the forecasted resale price. Changes in these estimates could have a significant impact on the net realizable value and a significant change in net realizable value could cause a significant valuation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identified real estate inventory valuation adjustment for homes listed for sale and not under resale contract, which is the majority of the real estate inventory valuation adjustment, to be a critical audit matter due to the subjectivity of management’s judgment in forecasting the net realizable value of the real estate inventory, specifically with respect to the forecasted resale price. This required a high degree of auditor judgment and an increased extent of effort, including the need to involve our valuation specialists, when performing audit procedures to evaluate the reasonableness of management’s forecasted resale price.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forecasted resale price input used for real estate inventory valuation adjustments for homes listed for sale and not under resale contract included the following,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tested the effectiveness of internal controls over the forecasted resale price.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developed an expectation of the real estate inventory valuation adjustment for homes listed for sale and not under resale contract and compared it to the recorded balance.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evaluated management’s assessment of the forecasted resale price by comparing actual sales prices to management’s historical forecasted resale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With the assistance of our valuation specialists we: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Evaluated the appropriateness of the methodology and model utilized by management to estimate the forecasted resale price.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Developed a range of independent projected sales price estimates for a sample of individual homes using observable market data of actual sale transactions for comparable homes and compared those to management’s forecasted resale price.</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pPr>
      <w:r>
        <w:rPr>
          <w:rFonts w:ascii="Times New Roman;serif" w:hAnsi="Times New Roman;serif"/>
          <w:b w:val="false"/>
          <w:color w:val="000000"/>
          <w:sz w:val="18"/>
        </w:rPr>
        <w:t xml:space="preserve">(In millions, except </w:t>
      </w:r>
      <w:r>
        <w:rPr>
          <w:rFonts w:ascii="Times New Roman;serif" w:hAnsi="Times New Roman;serif"/>
          <w:b w:val="false"/>
          <w:color w:val="000000"/>
          <w:sz w:val="20"/>
        </w:rPr>
        <w:t>s</w:t>
      </w:r>
      <w:r>
        <w:rPr>
          <w:rFonts w:ascii="Times New Roman;serif" w:hAnsi="Times New Roman;serif"/>
          <w:b w:val="false"/>
          <w:color w:val="000000"/>
          <w:sz w:val="18"/>
        </w:rPr>
        <w:t>hare data)</w:t>
      </w:r>
    </w:p>
    <w:tbl>
      <w:tblPr>
        <w:tblW w:w="10205" w:type="dxa"/>
        <w:jc w:val="left"/>
        <w:tblInd w:w="0" w:type="dxa"/>
        <w:tblLayout w:type="fixed"/>
        <w:tblCellMar>
          <w:top w:w="28" w:type="dxa"/>
          <w:left w:w="28" w:type="dxa"/>
          <w:bottom w:w="28" w:type="dxa"/>
          <w:right w:w="28" w:type="dxa"/>
        </w:tblCellMar>
      </w:tblPr>
      <w:tblGrid>
        <w:gridCol w:w="3056"/>
        <w:gridCol w:w="2404"/>
        <w:gridCol w:w="2437"/>
        <w:gridCol w:w="109"/>
        <w:gridCol w:w="109"/>
        <w:gridCol w:w="109"/>
        <w:gridCol w:w="216"/>
        <w:gridCol w:w="615"/>
        <w:gridCol w:w="120"/>
        <w:gridCol w:w="121"/>
        <w:gridCol w:w="196"/>
        <w:gridCol w:w="556"/>
        <w:gridCol w:w="157"/>
      </w:tblGrid>
      <w:tr>
        <w:trPr/>
        <w:tc>
          <w:tcPr>
            <w:tcW w:w="3056"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9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909" w:type="dxa"/>
            <w:gridSpan w:val="3"/>
            <w:tcBorders/>
          </w:tcPr>
          <w:p>
            <w:pPr>
              <w:pStyle w:val="TableContents"/>
              <w:bidi w:val="0"/>
              <w:spacing w:before="0" w:after="283"/>
              <w:jc w:val="left"/>
              <w:rPr>
                <w:sz w:val="4"/>
                <w:szCs w:val="4"/>
              </w:rPr>
            </w:pPr>
            <w:r>
              <w:rPr>
                <w:sz w:val="4"/>
                <w:szCs w:val="4"/>
              </w:rPr>
            </w:r>
          </w:p>
        </w:tc>
      </w:tr>
      <w:tr>
        <w:trPr/>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senior notes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SENIOR NOTES -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3,000,000,000 shares authorized; 957,245,487 and 719,990,121 shares issued, respectively; 957,245,487 and 719,990,121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Company’s consolidated assets at December 31, 2025 and 2024 include the following assets of certain variable interest entities (“VIEs”) that can only be used to settle the liabilities of those VIEs: Restricted cash, $334 and $81; Real estate inventory, net, $916 and $2,141; Escrow receivable, $4 and $6; Other current assets, $3 and $8; and Total assets of $1,257 and $2,236, respectively.</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Company’s consolidated liabilities at December 31, 2025 and 2024 include the following liabilities for which the VIE creditors generally do not have recourse to Opendoor: Accounts payable and other accrued liabilities, $12 and $21; Current portion of non-recourse asset-backed debt, $52 and $432; Interest payable, $1 and $3; Non-recourse asset-backed debt, net of current portion, $1,068 and $1,492; and Total liabilities, $1,133 and $1,948, respectively. See “</w:t>
      </w:r>
      <w:r>
        <w:rPr>
          <w:rFonts w:ascii="Times New Roman;serif" w:hAnsi="Times New Roman;serif"/>
          <w:b w:val="false"/>
          <w:i/>
          <w:color w:val="000000"/>
          <w:sz w:val="20"/>
        </w:rPr>
        <w:t>Note 4. Variable Interest Entities</w:t>
      </w:r>
      <w:r>
        <w:rPr>
          <w:color w:val="000000"/>
        </w:rPr>
        <w:t xml:space="preserve">” </w:t>
      </w:r>
      <w:r>
        <w:rPr>
          <w:rFonts w:ascii="Times New Roman;serif" w:hAnsi="Times New Roman;serif"/>
          <w:b w:val="false"/>
          <w:color w:val="000000"/>
          <w:sz w:val="20"/>
        </w:rPr>
        <w:t>for additional information regarding our VIEs.</w:t>
      </w:r>
    </w:p>
    <w:p>
      <w:pPr>
        <w:pStyle w:val="TextBody"/>
        <w:bidi w:val="0"/>
        <w:spacing w:lineRule="auto" w:line="288" w:before="5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share amounts which are presented in thousands, and per share amounts)</w:t>
      </w:r>
    </w:p>
    <w:tbl>
      <w:tblPr>
        <w:tblW w:w="8187" w:type="dxa"/>
        <w:jc w:val="left"/>
        <w:tblInd w:w="0" w:type="dxa"/>
        <w:tblLayout w:type="fixed"/>
        <w:tblCellMar>
          <w:top w:w="28" w:type="dxa"/>
          <w:left w:w="28" w:type="dxa"/>
          <w:bottom w:w="28" w:type="dxa"/>
          <w:right w:w="28" w:type="dxa"/>
        </w:tblCellMar>
      </w:tblPr>
      <w:tblGrid>
        <w:gridCol w:w="1669"/>
        <w:gridCol w:w="1465"/>
        <w:gridCol w:w="1471"/>
        <w:gridCol w:w="211"/>
        <w:gridCol w:w="691"/>
        <w:gridCol w:w="109"/>
        <w:gridCol w:w="109"/>
        <w:gridCol w:w="109"/>
        <w:gridCol w:w="109"/>
        <w:gridCol w:w="211"/>
        <w:gridCol w:w="616"/>
        <w:gridCol w:w="109"/>
        <w:gridCol w:w="109"/>
        <w:gridCol w:w="109"/>
        <w:gridCol w:w="109"/>
        <w:gridCol w:w="211"/>
        <w:gridCol w:w="61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3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bl>
      <w:tblPr>
        <w:tblW w:w="6634" w:type="dxa"/>
        <w:jc w:val="left"/>
        <w:tblInd w:w="0" w:type="dxa"/>
        <w:tblLayout w:type="fixed"/>
        <w:tblCellMar>
          <w:top w:w="28" w:type="dxa"/>
          <w:left w:w="28" w:type="dxa"/>
          <w:bottom w:w="28" w:type="dxa"/>
          <w:right w:w="28" w:type="dxa"/>
        </w:tblCellMar>
      </w:tblPr>
      <w:tblGrid>
        <w:gridCol w:w="1236"/>
        <w:gridCol w:w="1084"/>
        <w:gridCol w:w="1100"/>
        <w:gridCol w:w="211"/>
        <w:gridCol w:w="691"/>
        <w:gridCol w:w="109"/>
        <w:gridCol w:w="109"/>
        <w:gridCol w:w="211"/>
        <w:gridCol w:w="541"/>
        <w:gridCol w:w="109"/>
        <w:gridCol w:w="109"/>
        <w:gridCol w:w="109"/>
        <w:gridCol w:w="109"/>
        <w:gridCol w:w="211"/>
        <w:gridCol w:w="541"/>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906" w:type="dxa"/>
            <w:gridSpan w:val="3"/>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9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number of shares)</w:t>
      </w:r>
    </w:p>
    <w:tbl>
      <w:tblPr>
        <w:tblW w:w="14473"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255"/>
        <w:gridCol w:w="255"/>
        <w:gridCol w:w="256"/>
        <w:gridCol w:w="109"/>
        <w:gridCol w:w="871"/>
        <w:gridCol w:w="109"/>
        <w:gridCol w:w="1051"/>
        <w:gridCol w:w="109"/>
        <w:gridCol w:w="1216"/>
        <w:gridCol w:w="109"/>
        <w:gridCol w:w="525"/>
        <w:gridCol w:w="526"/>
        <w:gridCol w:w="109"/>
        <w:gridCol w:w="109"/>
        <w:gridCol w:w="109"/>
        <w:gridCol w:w="109"/>
        <w:gridCol w:w="289"/>
        <w:gridCol w:w="600"/>
        <w:gridCol w:w="162"/>
        <w:gridCol w:w="109"/>
        <w:gridCol w:w="109"/>
        <w:gridCol w:w="109"/>
        <w:gridCol w:w="196"/>
        <w:gridCol w:w="556"/>
        <w:gridCol w:w="109"/>
        <w:gridCol w:w="109"/>
        <w:gridCol w:w="109"/>
        <w:gridCol w:w="109"/>
        <w:gridCol w:w="196"/>
        <w:gridCol w:w="571"/>
        <w:gridCol w:w="109"/>
        <w:gridCol w:w="109"/>
        <w:gridCol w:w="109"/>
        <w:gridCol w:w="109"/>
        <w:gridCol w:w="196"/>
        <w:gridCol w:w="256"/>
        <w:gridCol w:w="109"/>
        <w:gridCol w:w="109"/>
        <w:gridCol w:w="109"/>
        <w:gridCol w:w="109"/>
        <w:gridCol w:w="109"/>
        <w:gridCol w:w="109"/>
        <w:gridCol w:w="196"/>
        <w:gridCol w:w="55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842" w:type="dxa"/>
            <w:gridSpan w:val="4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tc>
        <w:tc>
          <w:tcPr>
            <w:tcW w:w="4730" w:type="dxa"/>
            <w:gridSpan w:val="26"/>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637,387,025 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RSUs,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35,562,197 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677,636,163 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10538" w:type="dxa"/>
        <w:jc w:val="left"/>
        <w:tblInd w:w="0" w:type="dxa"/>
        <w:tblLayout w:type="fixed"/>
        <w:tblCellMar>
          <w:top w:w="28" w:type="dxa"/>
          <w:left w:w="28" w:type="dxa"/>
          <w:bottom w:w="28" w:type="dxa"/>
          <w:right w:w="28" w:type="dxa"/>
        </w:tblCellMar>
      </w:tblPr>
      <w:tblGrid>
        <w:gridCol w:w="625"/>
        <w:gridCol w:w="272"/>
        <w:gridCol w:w="27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524"/>
        <w:gridCol w:w="527"/>
        <w:gridCol w:w="109"/>
        <w:gridCol w:w="109"/>
        <w:gridCol w:w="109"/>
        <w:gridCol w:w="109"/>
        <w:gridCol w:w="196"/>
        <w:gridCol w:w="406"/>
        <w:gridCol w:w="109"/>
        <w:gridCol w:w="109"/>
        <w:gridCol w:w="109"/>
        <w:gridCol w:w="109"/>
        <w:gridCol w:w="196"/>
        <w:gridCol w:w="556"/>
        <w:gridCol w:w="109"/>
        <w:gridCol w:w="109"/>
        <w:gridCol w:w="109"/>
        <w:gridCol w:w="109"/>
        <w:gridCol w:w="196"/>
        <w:gridCol w:w="571"/>
        <w:gridCol w:w="109"/>
        <w:gridCol w:w="109"/>
        <w:gridCol w:w="109"/>
        <w:gridCol w:w="109"/>
        <w:gridCol w:w="196"/>
        <w:gridCol w:w="406"/>
        <w:gridCol w:w="109"/>
        <w:gridCol w:w="109"/>
        <w:gridCol w:w="109"/>
        <w:gridCol w:w="109"/>
        <w:gridCol w:w="109"/>
        <w:gridCol w:w="109"/>
        <w:gridCol w:w="196"/>
        <w:gridCol w:w="55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1" w:type="dxa"/>
            <w:gridSpan w:val="52"/>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918" w:type="dxa"/>
            <w:gridSpan w:val="32"/>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11"/>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RSUs,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38,860,600 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Capped Calls related to the 2026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719,990,121 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RSUs,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the repurchase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180,580,200 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dividend warrants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PIPE offering, net of equity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at-the-market offering, net of equity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Capped Calls related to the 2026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957,245,487 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2595"/>
        <w:gridCol w:w="2216"/>
        <w:gridCol w:w="2228"/>
        <w:gridCol w:w="196"/>
        <w:gridCol w:w="619"/>
        <w:gridCol w:w="109"/>
        <w:gridCol w:w="109"/>
        <w:gridCol w:w="196"/>
        <w:gridCol w:w="484"/>
        <w:gridCol w:w="109"/>
        <w:gridCol w:w="109"/>
        <w:gridCol w:w="109"/>
        <w:gridCol w:w="109"/>
        <w:gridCol w:w="196"/>
        <w:gridCol w:w="556"/>
        <w:gridCol w:w="109"/>
        <w:gridCol w:w="156"/>
      </w:tblGrid>
      <w:tr>
        <w:trPr/>
        <w:tc>
          <w:tcPr>
            <w:tcW w:w="259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7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cash, cash equivalents, and restricted cash provided by (used in) operating activities: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valuation adjustment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equity securities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and principal collections of mortgage loans held for sale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Loss (gain) on early extinguishment of debt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deconsolidation,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sales, maturities, redemptions and paydowns of marketable securities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non-marketable equity securities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non-marketable equity securities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impact of deconsolidation of subsidiaries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net of discount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of convertible senior notes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Settlement of Capped Calls related to convertible senior notes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for ESPP</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PIPE offering</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common stock under at-the-market offering, net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the repurchase of convertible notes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non-recourse asset-backed debt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non-recourse asset-backed debt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loan origination fees and debt issuance costs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early extinguishment of debt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year</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 – Cash paid during the period for interest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DISCLOSURES OF NONCASH INVESTING AND FINANCING ACTIVITIES: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capitalized for internally developed software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2026 Notes extinguished in Debt Exchange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2030 Notes issued in Debt Exchange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non-marketable equity securities due to deconsolidation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bl>
      <w:tblPr>
        <w:tblW w:w="7703" w:type="dxa"/>
        <w:jc w:val="center"/>
        <w:tblInd w:w="0" w:type="dxa"/>
        <w:tblLayout w:type="fixed"/>
        <w:tblCellMar>
          <w:top w:w="28" w:type="dxa"/>
          <w:left w:w="28" w:type="dxa"/>
          <w:bottom w:w="28" w:type="dxa"/>
          <w:right w:w="28" w:type="dxa"/>
        </w:tblCellMar>
      </w:tblPr>
      <w:tblGrid>
        <w:gridCol w:w="1691"/>
        <w:gridCol w:w="1484"/>
        <w:gridCol w:w="1490"/>
        <w:gridCol w:w="196"/>
        <w:gridCol w:w="556"/>
        <w:gridCol w:w="109"/>
        <w:gridCol w:w="109"/>
        <w:gridCol w:w="196"/>
        <w:gridCol w:w="421"/>
        <w:gridCol w:w="109"/>
        <w:gridCol w:w="109"/>
        <w:gridCol w:w="109"/>
        <w:gridCol w:w="109"/>
        <w:gridCol w:w="196"/>
        <w:gridCol w:w="556"/>
        <w:gridCol w:w="109"/>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CONSOLIDATED BALANCE SHEETS: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erif" w:hAnsi="Times New Roman;serif"/>
          <w:b/>
          <w:color w:val="000000"/>
          <w:sz w:val="20"/>
        </w:rPr>
      </w:pPr>
      <w:r>
        <w:rPr>
          <w:rFonts w:ascii="Times New Roman;serif" w:hAnsi="Times New Roman;serif"/>
          <w:b/>
          <w:color w:val="000000"/>
          <w:sz w:val="20"/>
        </w:rPr>
        <w:t>1.DESCRIPTION OF BUSINESS AND ACCOUNTING POLICIES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Opendoor Technologies Inc. (the “Company” and “Opendoor”) including its consolidated subsidiaries and certain variable interest entities (“VIEs”), is a leading e-commerce platform for residential real estate transactions and the largest U.S. iBuyer. By leveraging its centralized digital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completed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(the “Closing”), and was accounted for as a reverse recapitalization, in accordance with GAAP.</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pursuant to generally accepted accounting principles in the United States of America (“GAAP”). The consolidated financial statements as of December 31, 2025 and 2024 and for the years ended December 31, 2025, 2024 and 2023 include the accounts of Opendoor, its wholly owned subsidiaries and VIEs where the Company is the primary beneficiary. The accompanying consolidated financial statements reflect all adjustments which are, in the opinion of management, necessary for a fair statement of the results for the periods presented. All significant intercompany accounts and transactions have been eliminated in the consolidated financial statements herein.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At-The-Market Equity Offering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the Company entered into an at-the-market equity offering sales agreement (the “ATM Agreement”) with Barclays Capital Inc. and Virtu Americas LLC, as sales agents (the “Agents”), pursuant to which the Company may offer and sell, from time to time, through the Agents, shares of the Company’s common stock having an aggregate offering price of up to $200 million. Under the ATM Agreement, the Agents may sell shares by any method deemed to be an “at-the-market offering.” During the year ended December 31, 2025, the Company issued and sold an aggregate of 21,587,667 shares at a weighted average price of $9.26 per share, under the ATM Agreement for total cash proceeds, after commissions, of approximately $198 million, and Net Proceeds, as defined in the ATM Agreement, of approximately $195 million. As of December 31, 2025, there are no shares available for issuance under the ATM Agreement.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Private Investment in Public Equity Offerings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On September 10, 2025, the Company closed certain private investment in public equity (“PIPE”) offerings and entered into purchase agreements with accredited investors that resulted in aggregate gross cash proceeds to the Company of approximately $41 million. See </w:t>
      </w:r>
      <w:r>
        <w:rPr>
          <w:color w:val="000000"/>
        </w:rPr>
        <w:t>“</w:t>
      </w:r>
      <w:r>
        <w:rPr>
          <w:rFonts w:ascii="Times New Roman;serif" w:hAnsi="Times New Roman;serif"/>
          <w:b w:val="false"/>
          <w:i/>
          <w:color w:val="000000"/>
          <w:sz w:val="20"/>
        </w:rPr>
        <w:t>Note 17 — Related Parties”</w:t>
      </w:r>
      <w:r>
        <w:rPr>
          <w:color w:val="000000"/>
        </w:rPr>
        <w:t xml:space="preserve"> </w:t>
      </w:r>
      <w:r>
        <w:rPr>
          <w:rFonts w:ascii="Times New Roman;serif" w:hAnsi="Times New Roman;serif"/>
          <w:b w:val="false"/>
          <w:color w:val="000000"/>
          <w:sz w:val="20"/>
        </w:rPr>
        <w:t xml:space="preserve">to the consolidated financial statements for details regarding the PIPE offerings.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share-based awards, and inventory valuation adjustment.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 and interest rate environment have introduced additional uncertainty with respect to judgments, estimates, and assumptions, which may materially impact the estimates previously listed, among others.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Significant Risks and Uncertainties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operates in a dynamic industry and, accordingly, can be affected by a variety of factors. For example, the Company believes that changes in any of the following factors could have a significant negative effect on the Company in terms of its future financial position, results of operations or cash flows: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its ability to leverage artificial intelligence (“AI”) to drive operational efficiency; impacts to its business from political and regulatory activity, including recent trade policies, and potential increased tariffs; changes in technology, products, markets or services by the Company or its competitors;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such as pandemics or epidemics;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concentrations of credit risk, consist primarily of cash and cash equivalents, restricted cash, and investments in non-marketable securities. The Company places cash and cash equivalents and investments with major financial institutions, which management assesses to be of high credit quality, in order to limit exposure of the Company’s investments.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was managed as a single operating and reportable segment on a consolidated basis. Furthermore, the Company determined that the Chief Executive Officer is the Chief Operating Decision Maker (“CODM”) as the CEO is responsible for making decisions regarding the allocation of resources and assessing performance, as well as for strategic operational decisions and managing the organization at a consolidated level.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includes demand deposits with financial institutions and cash items in transit. Cash equivalents include only investments with initial maturities of three months or less that are highly liquid and readily convertible to known amounts of cash. The Company maintains portions of the Company’s cash in bank deposit accounts, which, at times, may exceed federally insured limits. Management believes that the Company is not exposed to any significant credit risk related to cash deposits.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consists primarily of funds held in operating, collection, disbursement and reserve accounts related to the Company’s credit facilities and entities established for such credit facilities. The use of the restricted cash balance related to the Company’s credit facilities are constrained by contract to purchasing real estate inventory and certain related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marketable securities consisted of marketable equity securities. Marketable equity securities are publicly traded and have readily determinable fair values with changes in fair value recorded in Other income – net.</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Non-Marketable Equity Securities and Equity Method Investments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 and equity method investments are investments in privately held companies that do not have readily determinable fair values. These securities are accounted for under one of the following accounting methods: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Equity method: This method is applied when the Company has the ability to exert significant influence over the investee. The securities are recorded at cost and adjusted for the Company’s share of the investee’s earnings or losses, less any dividends received and/or impairments.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Measurement alternative: This method is followed for all remaining non-marketable equity securities. These securities are recorded at cost minus impairment, if any, adjusted for changes resulting from observable price changes in orderly transactions for an identical or similar investment in the same issuer.</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and losses or the Company's share of the investee's earnings or losses on non-marketable equity securities, including impairment losses, are recognized in Other income – net. Any dividends on equity method investments are recognized as a reduction of the investment's carrying value. Non-marketable equity securities and equity method investments are reported in Other assets.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Company assesses whether an impairment loss on its non-marketable equity securities has occurred due to declines in fair value or other market conditions. When the fair value of an equity method investment is less than its carrying value, the Company writes down the investment to fair value when the decline in value is considered to be other than temporary. When the fair value of an investment accounted for using the measurement alternative is less than its carrying value, the Company writes down the investment to its fair value, without the consideration of recovery. See </w:t>
      </w:r>
      <w:r>
        <w:rPr>
          <w:color w:val="000000"/>
        </w:rPr>
        <w:t>“</w:t>
      </w:r>
      <w:r>
        <w:rPr>
          <w:rFonts w:ascii="Times New Roman;serif" w:hAnsi="Times New Roman;serif"/>
          <w:b w:val="false"/>
          <w:i/>
          <w:color w:val="000000"/>
          <w:sz w:val="20"/>
        </w:rPr>
        <w:t>Note 3 — Cash, Cash Equivalents, and Investments”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Real Estate Inventory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Real estate inventory is carried at the lower of cost or net realizable value and the Company applies the specific identification method whereby each property constitutes the unit of account. Real estate inventory cost includes but is not limited to the property purchase price, acquisition costs and direct costs to renovate or repair the home, less inventory valuation adjustments, if any. Work-in-progress inventory includes homes undergoing repairs and finished goods inventory includes homes that are listed for sale, including homes ready for listing, and homes under contract for sale. Real estate inventory is reviewed for valuation adjustments at least quarterly. If the carrying amount or cost basis is not expected to be recovered, an inventory valuation adjustment is recorded to Cost of revenue and the related assets are adjusted to their net realizable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Company accounts for each series of its convertible senior notes wholly as debt. The Company has not identified any material embedded features contained within its notes which would require bifurcation, and therefore, separate treatment as derivative instruments.</w:t>
      </w:r>
      <w:r>
        <w:rPr>
          <w:color w:val="000000"/>
        </w:rPr>
        <w:t xml:space="preserve"> </w:t>
      </w:r>
      <w:r>
        <w:rPr>
          <w:rFonts w:ascii="Times New Roman;serif" w:hAnsi="Times New Roman;serif"/>
          <w:b w:val="false"/>
          <w:color w:val="000000"/>
          <w:sz w:val="20"/>
        </w:rPr>
        <w:t xml:space="preserve">As applicable, any debt discount and debt issuance costs incurred in connection with the issuance of the notes are recorded as a direct deduction from the carrying amount of the notes. These amounts are amortized to interest expense using the effective interest method over the expected term of the notes, or if applicable, to the earliest date the noteholder may exercise a put option. Upon conversion, the carrying amount of the notes, including any unamortized debt issuance costs and unamortized discounts, are reduced by cash paid, with any difference being reflected as a change in equity. No gain or loss will be recognized upon conversion. Upon extinguishment of any portion of the notes, the difference between the reacquisition price of the extinguished notes and the respective net carrying amount is recorded as a gain or loss in (Loss) gain on extinguishment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pPr>
      <w:r>
        <w:rPr>
          <w:rFonts w:ascii="Times New Roman;serif" w:hAnsi="Times New Roman;serif"/>
          <w:b w:val="false"/>
          <w:color w:val="000000"/>
          <w:sz w:val="20"/>
        </w:rPr>
        <w:t>of debt in the consolidated statements of operations. See “</w:t>
      </w:r>
      <w:r>
        <w:rPr>
          <w:rFonts w:ascii="Times New Roman;serif" w:hAnsi="Times New Roman;serif"/>
          <w:b w:val="false"/>
          <w:i/>
          <w:color w:val="000000"/>
          <w:sz w:val="20"/>
        </w:rPr>
        <w:t>Note 5 — Credit Facilities, Long-Term Debt, and Convertible Notes</w:t>
      </w:r>
      <w:r>
        <w:rPr>
          <w:color w:val="000000"/>
        </w:rPr>
        <w:t xml:space="preserve">” </w:t>
      </w:r>
      <w:r>
        <w:rPr>
          <w:rFonts w:ascii="Times New Roman;serif" w:hAnsi="Times New Roman;serif"/>
          <w:b w:val="false"/>
          <w:color w:val="000000"/>
          <w:sz w:val="20"/>
        </w:rPr>
        <w:t>for further details on the Company's notes.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purchased certain capped calls in connection with the issuance of the 2026 Notes (the “Capped Calls”) which it expected to reduce potential dilution from conversions of the 2026 Notes. The Capped Calls were determined to be freestanding financial instruments that met the criteria for classification in equity; as such, the Capped Calls were recorded as a reduction of additional paid-in capital within shareholders' equity and were not subsequently remeasured.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Escrow Receivable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Escrow receivable consists of proceeds from home resale held in escrow prior to such proceeds being remitted to the Company. The Company reviews the need for an allowance for credit losses quarterly based on historical collections experience, among other factors. As of December 31, 2025 and 2024, the Company did not record an allowance for credit losses and for the years ended December 31, 2025, 2024 and 2023, the Company did not have any material write-offs.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Property and equipment are capitalized and depreciated. Depreciation is calculated using the straight-line method over the estimated useful lives of assets. Maintenance and repair costs are charged to expense as incurred. The estimated useful lives of the Company’s property and equipment are as follows:</w:t>
      </w:r>
    </w:p>
    <w:tbl>
      <w:tblPr>
        <w:tblW w:w="5415" w:type="dxa"/>
        <w:jc w:val="left"/>
        <w:tblInd w:w="0" w:type="dxa"/>
        <w:tblLayout w:type="fixed"/>
        <w:tblCellMar>
          <w:top w:w="28" w:type="dxa"/>
          <w:left w:w="28" w:type="dxa"/>
          <w:bottom w:w="28" w:type="dxa"/>
          <w:right w:w="28" w:type="dxa"/>
        </w:tblCellMar>
      </w:tblPr>
      <w:tblGrid>
        <w:gridCol w:w="944"/>
        <w:gridCol w:w="832"/>
        <w:gridCol w:w="834"/>
        <w:gridCol w:w="820"/>
        <w:gridCol w:w="820"/>
        <w:gridCol w:w="1165"/>
      </w:tblGrid>
      <w:tr>
        <w:trPr/>
        <w:tc>
          <w:tcPr>
            <w:tcW w:w="94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implementation costs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Lesser of 3 years or contract term</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w:t>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systems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year</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Lesser of useful life or lease term</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leases for which the Company is the lessee, the Company recognizes right-of-use assets and lease liabilities for all leases other than those with a term of 12 months or less as the Company has elected to apply the short-term lease recognition exemption. Right-of-use assets represent the Company’s right to use an underlying asset for the lease term. Lease liabilities represent the Company’s obligation to make lease payments arising from the lease. Right-of-use assets and lease liabilities are classified and recognized at the commencement date of a lease. Lease liabilities are measured based on the present value of fixed lease payments over the lease term. Right-of-use assets consist of (i) initial measurement of the lease liability; (ii) lease payments made to the lessor at or before the commencement date less any lease incentives received; and (iii) initial direct costs incurred by the Company. Lease payments may vary because of changes in facts or circumstances occurring after the commencement, including changes in inflation indices. Variable lease payments are excluded from the measurement of right-of-use assets and lease liabilities and are recognized in the period in which the obligation for those payments is incurred.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the rates implicit on the Company’s leases for which it is the lessee are not readily determinable, the Company uses its incremental borrowing rate based on information available at the commencement date in determining the present value of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payments. When determining the incremental borrowing rate, the Company assesses multiple variables such as lease term, collateral, economic conditions, and its creditworthiness.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operating leases, the Company recognizes straight-line rent expense.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lease arrangements may include options to extend or early terminate a lease, which it does not include in expected lease terms unless they are reasonably certain to be exercised. The Company has lease arrangements with lease and non-lease components. As a lessee, the Company has elected to apply the practical expedient to combine lease and related non-lease components, for all classes of underlying assets, and shall account for the combined component as a lease component.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Internally Developed Software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software the Company develops for internal use, the costs incurred in the preliminary stages of development are expensed as incurred. Once an application reaches the development stage, the Company capitalizes direct costs incurred (including internal and external) to property and equipment. Maintenance and on-going operating costs of developed applications are expensed as incurred. Amortization expense is recognized on a straight-line basis into technology and development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represents the difference between the purchase price and the fair value of assets acquired and liabilities assumed in a business combination. Goodwill is not amortized. The Company has a single reporting unit and management reviews goodwill for impairment annually on the first day of the third quarter and also if events or changes in circumstances indicate the occurrence of a triggering event. Goodwill is reviewed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Dividends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Warrant dividends are accounted for in accordance with ASC 815, Derivative and Hedging. The warrants are classified as equity financial instruments as they are indexed to the Company’s common stock and require settlement in shares with no net cash settlement provisions. The Company records the issuance of the warrants to additional paid in capital on the consolidated balance sheets based on the fair value of the warrants. No fair value remeasurement of the warrants, as equity instruments, is required in subsequent periods.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periods presented is primarily related to abandonment of certain internally developed software projects. The impairment loss recognized during the periods presented is as follows (in millions):</w:t>
      </w:r>
    </w:p>
    <w:tbl>
      <w:tblPr>
        <w:tblW w:w="5397" w:type="dxa"/>
        <w:jc w:val="left"/>
        <w:tblInd w:w="0" w:type="dxa"/>
        <w:tblLayout w:type="fixed"/>
        <w:tblCellMar>
          <w:top w:w="28" w:type="dxa"/>
          <w:left w:w="28" w:type="dxa"/>
          <w:bottom w:w="28" w:type="dxa"/>
          <w:right w:w="28" w:type="dxa"/>
        </w:tblCellMar>
      </w:tblPr>
      <w:tblGrid>
        <w:gridCol w:w="930"/>
        <w:gridCol w:w="816"/>
        <w:gridCol w:w="819"/>
        <w:gridCol w:w="211"/>
        <w:gridCol w:w="406"/>
        <w:gridCol w:w="109"/>
        <w:gridCol w:w="109"/>
        <w:gridCol w:w="109"/>
        <w:gridCol w:w="109"/>
        <w:gridCol w:w="211"/>
        <w:gridCol w:w="406"/>
        <w:gridCol w:w="109"/>
        <w:gridCol w:w="109"/>
        <w:gridCol w:w="109"/>
        <w:gridCol w:w="109"/>
        <w:gridCol w:w="211"/>
        <w:gridCol w:w="361"/>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through home sales, along with other revenue from ancillary real estate services in the United States. Other revenue represents an insignificant portion of the Company’s total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 satisfies its performance obligations by transferring control of promised goods or services to its customers in an amount that reflects the consideration to which the Company expects to be entitled in exchange for those goods or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Home sales revenue consists of selling residential real estate to customers. Revenue is recognized when title to and possession of the property has transferred to the customer and the Company has no continuing involvement with the property, which is generally upon close of escrow. The amount of revenue recognized for each home sale is equal to the sale price of the home net of any concessions.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revenue consists primarily of title insurance and escrow services, and real estate broker commissions. These real estate services are provided in conjunction with home sales, and revenue is recognized consistent with home sales revenue, generally upon close of escrow.</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customers generated 10% or more of the Company’s total revenue in the years ended December 31, 2025, 2024 or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includes the property purchase price, acquisition costs, direct costs to renovate or repair the home and inventory valuation adjustments, if any. These costs are accumulated in real estate inventory during the property holding period and charged to cost of revenue under the specific identification method when the property is sold. Additionally, for the Company’s revenues other than home sales revenue, cost of revenue consists of any costs incurred in delivering the service including associated headcount expenses such as salaries, benefits, and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Marketing and Operations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 expense consists primarily of resale broker commissions, resale closing costs, holding costs related to real estate inventory including property taxes, insurance, utilities, homeowners association dues and maintenance, and expenses associated with product marketing, promotions and brand-building. Sales, marketing and operations expense also includes any headcount expenses in support of sales, marketing, and real estate inventory operations such as salaries, benefits, and stock-based compensation. These costs are expensed as incurred.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For the years ended December 31, 2025, 2024, and 2023, expenses attributable to advertising totaled $47 million, $86 million, and $75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Technology and Development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and development expense consists primarily of employee-related expenses for product development, design, data analytics and engineering, including salaries, benefits and stock-based compensation, as well as contractor and consultant fees, third-party software and hosting costs, and amortization of internally developed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awards consist of stock options, restricted stock units (“RSUs”), market condition restricted stock units (“market condition RSUs”) and shares issued pursuant the 2020 Employee Stock Purchase Plan (“ESPP”).</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Company has granted stock options with a service condition to vest, which is generally four years, and are generally exercisable over a maximum term of 10 years from the date of grant. Incentive stock options granted to a 10% shareholder are exercisable over a maximum term of five years from the date of grant. Option awards are generally granted with an exercise price equal to the fair value of the Company’s common stock at the date of grant. The Company records stock-based compensation expense for service-based stock options on a straight-line basis over the requisite service period. These amounts are reduced by forfeitures as they occur. The Company uses the </w:t>
      </w:r>
      <w:r>
        <w:rPr>
          <w:rFonts w:ascii="Times New Roman;serif" w:hAnsi="Times New Roman;serif"/>
          <w:b w:val="false"/>
          <w:i/>
          <w:color w:val="000000"/>
          <w:sz w:val="20"/>
        </w:rPr>
        <w:t>Black-Scholes-Merton</w:t>
      </w:r>
      <w:r>
        <w:rPr>
          <w:color w:val="000000"/>
        </w:rPr>
        <w:t> </w:t>
      </w:r>
      <w:r>
        <w:rPr>
          <w:rFonts w:ascii="Times New Roman;serif" w:hAnsi="Times New Roman;serif"/>
          <w:b w:val="false"/>
          <w:color w:val="000000"/>
          <w:sz w:val="20"/>
        </w:rPr>
        <w:t>option-pricing model to determine the fair value as of the grant date for stock options.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RSUs subject to a service condition to vest, which is generally two to four years. Compensation expense is recognized on a straight-line basis subject to a floor of the vested number of shares for each award. The Company determines the fair value of RSUs based on the Company’s grant date closing stock price and recognizes forfeitures as they occur. In the quarter ended March 31, 2024, the Company began granting RSUs to certain executive employees that contain a performance condition and service condition to vest. The Company reassesses the probability of achieving the performance condition at each reporting date during the performance period. If the award is deemed probable of being earned, compensation expense is recognized on an accelerated attribution basis over the requisite service period of the award, which is generally three years. If all, or a portion, of the award is not expected to be earned, the appropriate amount of previously recognized compensation expense is reversed and future compensation is adjusted accordingly. </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Market Condition RSUs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granted certain employees dual-trigger RSUs with vesting conditions including both an applicable market condition as well as a service condition. As described in the share agreement, the applicable market condition is satisfied upon the Company's achievement of certain share price milestones, while the service condition is satisfied through continued service to the Company.</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For market-condition RSUs, the Company determines the grant-date fair value utilizing </w:t>
      </w:r>
      <w:r>
        <w:rPr>
          <w:rFonts w:ascii="Times New Roman;serif" w:hAnsi="Times New Roman;serif"/>
          <w:b w:val="false"/>
          <w:i/>
          <w:color w:val="000000"/>
          <w:sz w:val="20"/>
        </w:rPr>
        <w:t>Monte Carlo</w:t>
      </w:r>
      <w:r>
        <w:rPr>
          <w:color w:val="000000"/>
        </w:rPr>
        <w:t xml:space="preserve"> </w:t>
      </w:r>
      <w:r>
        <w:rPr>
          <w:rFonts w:ascii="Times New Roman;serif" w:hAnsi="Times New Roman;serif"/>
          <w:b w:val="false"/>
          <w:color w:val="000000"/>
          <w:sz w:val="20"/>
        </w:rPr>
        <w:t xml:space="preserve">simulations, which incorporate various assumptions, including expected stock price volatility, contractual term, dividend yield, and stock price at grant date. The Company estimates the volatility of common stock on the date of grant based on the Company’s historical stock price volatility. As the Company had no history of dividend payments and had not declared any prospective dividends, a 0% dividend yield was assumed.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stock-based compensation, each market condition is treated as an accounting unit and expense is recognized over the requisite service period with respect to each unit. The Company determines the requisite service period by comparing the derived service period to achieve the market-based condition and the explicit service-based period, if any, using the longer of the two service periods as the requisite service period.</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ESPP</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Company recognizes stock-based compensation expense related to purchase rights granted pursuant to the 2020 ESPP on a straight-line basis over the offering period. The Company estimates the fair value of purchase rights granted under the ESPP using the </w:t>
      </w:r>
      <w:r>
        <w:rPr>
          <w:rFonts w:ascii="Times New Roman;serif" w:hAnsi="Times New Roman;serif"/>
          <w:b w:val="false"/>
          <w:i/>
          <w:color w:val="000000"/>
          <w:sz w:val="20"/>
        </w:rPr>
        <w:t>Black-Scholes-Merton</w:t>
      </w:r>
      <w:r>
        <w:rPr>
          <w:color w:val="000000"/>
        </w:rPr>
        <w:t xml:space="preserve"> </w:t>
      </w:r>
      <w:r>
        <w:rPr>
          <w:rFonts w:ascii="Times New Roman;serif" w:hAnsi="Times New Roman;serif"/>
          <w:b w:val="false"/>
          <w:color w:val="000000"/>
          <w:sz w:val="20"/>
        </w:rPr>
        <w:t>option-pricing model.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income taxes using the asset and liability method. Under this method, deferred income tax assets and liabilities are recorded based on the estimated future tax effects of differences between the financial statement and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tax basis of existing assets and liabilities. These differences are measured using the enacted statutory tax rates that are expected to apply to taxable income for the years in which differences are expected to reverse. The Company recognizes the effect on deferred income taxes of a change in tax rates in income in the period that includes the enactment date.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records uncertain tax positions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likely to be realized upon ultimate settlement with the related tax authority.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Consolidation of Variable Interest Entities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a variable interest holder in certain entities in which equity investors at risk do not have the characteristics of a controlling financial interest or where the entity does not have enough equity at risk to finance its activities without additional subordinated financial support from other parties; these entities are VIEs. The Company’s variable interest arises from contractual, ownership or other monetary interest in the entity, which fluctuates based on the VIE’s economic performance. The Company consolidates a VIE if it is the primary beneficiary. The Company is the primary beneficiary if it has a controlling financial interest, which includes both the power to direct the activities that most significantly impact the economic performance of the VIE and a variable interest that obligates the Company to absorb losses or the right to receive benefits that potentially could be significant to the VIE. To determine whether a variable interest the Company holds could potentially be significant to the VIE, the Company considers both qualitative and quantitative factors regarding the nature, size and form of its involvement with the VIE. The Company assesses whether or not the Company is the primary beneficiary of a VIE on an ongoing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Adopted Accounting Standards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year ended December 31, 2025, the Company adopted ASU 2023</w:t>
        <w:noBreakHyphen/>
        <w:t>09, Income Taxes (Topic 740): Improvements to Income Tax Disclosures. This update requires enhanced income tax disclosures, including greater disaggregation in the rate reconciliation and additional information about income taxes paid. Specifically, ASU 2023</w:t>
        <w:noBreakHyphen/>
        <w:t>09 requires public business entities to provide more detailed categories in the reconciliation of the statutory tax rate to the effective tax rate and to disclose income taxes paid disaggregated by federal, state, and foreign jurisdictions, as well as by individually significant jurisdictions. The guidance also requires disclosure of pre</w:t>
        <w:noBreakHyphen/>
        <w:t>tax income (loss) and income tax expense (benefit) disaggregated between domestic and foreign operations. The Company applied the new guidance prospectively to the current annual period only. Adoption of ASU 2023</w:t>
        <w:noBreakHyphen/>
        <w:t>09 did not have a material impact on the Company’s consolidated financial position or results of operations, but resulted in expanded income tax disclosures in the notes to the consolidated financial statements.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Issued Accounting Standards Not Yet Adopted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2023, the FASB issued ASU 2023-06 which is intended to clarify or improve disclosure and presentation requirements of a variety of topics. It will allow users to more easily compare entities subject to the U.S Securities and Exchange Commission’s (“SEC”) existing disclosures with those entities that were not previously subject to the requirements and align the requirements in the FASB accounting standard codification with the SEC’s regulations. The effective date for each amendment will be the date on which the SEC’s removal of that related disclosure from Regulation S-X or Regulation S-K becomes effective, or if the SEC has not removed the applicable disclosure requirement by June 30, 2027, the amendment will not be effective for any entity. Early adoption is prohibited. The Company is currently assessing the impact on the Company's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which is intended to improve the disclosures about a public business entity’s expenses and provide detailed information about the types of expenses in commonly presented expense captions. The new guidance is effective for fiscal years beginning after December 15, 2026, and interim periods within fiscal years beginning after December 15, 2027, and early adoption is permitted. The Company is currently assessing the impact on the Company's consolidated financial statements and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to modernize the outdated guidance for accounting for software costs by aligning the accounting with how software is developed today. This guidance is effective for fiscal years beginning after December 15, 2027 and interim periods within those fiscal years. Early adoption is permitted. The amendments in ASU 2025-06 should be applied either prospectively, retrospectively, or utilizing a modified transition approach. The Company is currently assessing the impact on the Company's consolidated financial statements and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2025-07. This update clarifies the application of derivative accounting to certain contracts and refines the guidance for share-based noncash consideration received from customers. Specifically, ASU 2025-07 introduces a scope exception for contracts that are not exchange-traded and whose underlying is tied to operations or activities specific to one party. It also clarifies that share-based noncash consideration from a customer should initially be accounted for under Topic 606 until the right to receive or retain such consideration becomes unconditional, at which point financial instruments guidance may apply. The effective date for the standard is for fiscal years beginning after December 15, 2026 and interim periods within those fiscal years. Early adoption is permitted. The amendments in ASU 2025-07 should be applied either prospectively or by utilizing a modified retrospective approach. The Company is currently assessing the impact on the Company's consolidated financial statements and disclosures.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Interim Reporting (Topic 270): Narrow</w:t>
        <w:noBreakHyphen/>
        <w:t>Scope Improvements. This update clarifies interim disclosure requirements and centralizes such requirements within Topic 270. Among other changes, ASU 2025</w:t>
        <w:noBreakHyphen/>
        <w:t>11 introduces a disclosure principle requiring entities to provide information about significant events or changes since the end of the last annual reporting period that have a material impact, clarifies when duplicative annual disclosures may be omitted from interim reports, and aligns interim reporting requirements with applicable SEC guidance for registrants. This guidance is effective for interim reporting periods within annual reporting periods beginning after December 15, 2027. Early adoption is permitted. The amendments in ASU 2025</w:t>
        <w:noBreakHyphen/>
        <w:t>11 should be applied prospectively. The Company is currently assessing the impact on the Company’s consolidated financial statements and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12, Codification Improvements. This update addresses shareholder suggestions on the Accounting Standards Codification and makes other incremental improvements to U.S. GAAP. The amendments make codification updates to a broad range of topics arising from technical corrections, unintended application of the codification, clarifications and other minor improvements. This guidance is effective for annual reporting periods beginning after December 15, 2026 and interim reporting periods within those annual periods. Early adoption is permitted and may be elected on an issue</w:t>
        <w:noBreakHyphen/>
        <w:t>by</w:t>
        <w:noBreakHyphen/>
        <w:t>issue basis. The amendments in ASU 2025</w:t>
        <w:noBreakHyphen/>
        <w:t>12 are to be applied prospectively. The Company is currently assessing the impact on the Company’s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2.REAL ESTATE INVENTORY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inventory, net of applicable inventory valuation adjustments of $20 million and $26 million as of December 31, 2025 and 2024, respectively (in millions):</w:t>
      </w:r>
    </w:p>
    <w:tbl>
      <w:tblPr>
        <w:tblW w:w="5402" w:type="dxa"/>
        <w:jc w:val="left"/>
        <w:tblInd w:w="0" w:type="dxa"/>
        <w:tblLayout w:type="fixed"/>
        <w:tblCellMar>
          <w:top w:w="28" w:type="dxa"/>
          <w:left w:w="28" w:type="dxa"/>
          <w:bottom w:w="28" w:type="dxa"/>
          <w:right w:w="28" w:type="dxa"/>
        </w:tblCellMar>
      </w:tblPr>
      <w:tblGrid>
        <w:gridCol w:w="816"/>
        <w:gridCol w:w="715"/>
        <w:gridCol w:w="719"/>
        <w:gridCol w:w="401"/>
        <w:gridCol w:w="888"/>
        <w:gridCol w:w="210"/>
        <w:gridCol w:w="109"/>
        <w:gridCol w:w="332"/>
        <w:gridCol w:w="970"/>
        <w:gridCol w:w="242"/>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5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Listed for sale</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 contract for sale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inventory</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was in contract to purchase 710 homes for an aggregate purchase price of $248 million.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recorded inventory valuation adjustments for real estate inventory of $57 million, $57 million, and $65 million, respectively, in Cost of revenue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3.CASH, CASH EQUIVALENTS, AND INVESTMENTS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and losses, and fair value of cash, cash equivalents, and marketable securities as of December 31, 2025 and 2024, were as follows (in millions):</w:t>
      </w:r>
    </w:p>
    <w:tbl>
      <w:tblPr>
        <w:tblW w:w="9053" w:type="dxa"/>
        <w:jc w:val="left"/>
        <w:tblInd w:w="0" w:type="dxa"/>
        <w:tblLayout w:type="fixed"/>
        <w:tblCellMar>
          <w:top w:w="28" w:type="dxa"/>
          <w:left w:w="28" w:type="dxa"/>
          <w:bottom w:w="28" w:type="dxa"/>
          <w:right w:w="28" w:type="dxa"/>
        </w:tblCellMar>
      </w:tblPr>
      <w:tblGrid>
        <w:gridCol w:w="650"/>
        <w:gridCol w:w="571"/>
        <w:gridCol w:w="579"/>
        <w:gridCol w:w="211"/>
        <w:gridCol w:w="466"/>
        <w:gridCol w:w="109"/>
        <w:gridCol w:w="109"/>
        <w:gridCol w:w="109"/>
        <w:gridCol w:w="109"/>
        <w:gridCol w:w="257"/>
        <w:gridCol w:w="495"/>
        <w:gridCol w:w="134"/>
        <w:gridCol w:w="109"/>
        <w:gridCol w:w="109"/>
        <w:gridCol w:w="109"/>
        <w:gridCol w:w="257"/>
        <w:gridCol w:w="495"/>
        <w:gridCol w:w="134"/>
        <w:gridCol w:w="109"/>
        <w:gridCol w:w="109"/>
        <w:gridCol w:w="109"/>
        <w:gridCol w:w="237"/>
        <w:gridCol w:w="525"/>
        <w:gridCol w:w="122"/>
        <w:gridCol w:w="109"/>
        <w:gridCol w:w="109"/>
        <w:gridCol w:w="109"/>
        <w:gridCol w:w="317"/>
        <w:gridCol w:w="702"/>
        <w:gridCol w:w="166"/>
        <w:gridCol w:w="109"/>
        <w:gridCol w:w="109"/>
        <w:gridCol w:w="109"/>
        <w:gridCol w:w="271"/>
        <w:gridCol w:w="521"/>
        <w:gridCol w:w="199"/>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0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Cost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Cash and Cash</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Marketable</w:t>
              <w:br/>
              <w:t>Securities</w:t>
            </w:r>
          </w:p>
        </w:tc>
      </w:tr>
      <w:tr>
        <w:trPr/>
        <w:tc>
          <w:tcPr>
            <w:tcW w:w="180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53" w:type="dxa"/>
        <w:jc w:val="left"/>
        <w:tblInd w:w="0" w:type="dxa"/>
        <w:tblLayout w:type="fixed"/>
        <w:tblCellMar>
          <w:top w:w="28" w:type="dxa"/>
          <w:left w:w="28" w:type="dxa"/>
          <w:bottom w:w="28" w:type="dxa"/>
          <w:right w:w="28" w:type="dxa"/>
        </w:tblCellMar>
      </w:tblPr>
      <w:tblGrid>
        <w:gridCol w:w="650"/>
        <w:gridCol w:w="571"/>
        <w:gridCol w:w="579"/>
        <w:gridCol w:w="211"/>
        <w:gridCol w:w="466"/>
        <w:gridCol w:w="109"/>
        <w:gridCol w:w="109"/>
        <w:gridCol w:w="109"/>
        <w:gridCol w:w="109"/>
        <w:gridCol w:w="257"/>
        <w:gridCol w:w="495"/>
        <w:gridCol w:w="134"/>
        <w:gridCol w:w="109"/>
        <w:gridCol w:w="109"/>
        <w:gridCol w:w="109"/>
        <w:gridCol w:w="257"/>
        <w:gridCol w:w="495"/>
        <w:gridCol w:w="134"/>
        <w:gridCol w:w="109"/>
        <w:gridCol w:w="109"/>
        <w:gridCol w:w="109"/>
        <w:gridCol w:w="237"/>
        <w:gridCol w:w="525"/>
        <w:gridCol w:w="122"/>
        <w:gridCol w:w="109"/>
        <w:gridCol w:w="109"/>
        <w:gridCol w:w="109"/>
        <w:gridCol w:w="317"/>
        <w:gridCol w:w="702"/>
        <w:gridCol w:w="166"/>
        <w:gridCol w:w="109"/>
        <w:gridCol w:w="109"/>
        <w:gridCol w:w="109"/>
        <w:gridCol w:w="271"/>
        <w:gridCol w:w="521"/>
        <w:gridCol w:w="199"/>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0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Cost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00" w:after="283"/>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Cash and Cash</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w:t>
            </w:r>
          </w:p>
        </w:tc>
      </w:tr>
      <w:tr>
        <w:trPr/>
        <w:tc>
          <w:tcPr>
            <w:tcW w:w="180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no marketable equity securities as of December 31, 2025. During the year ended December 31, 2024, the Company recognized $(7) million of net unrealized losses, in the consolidated statements of operations related to marketable equity securities held as of December 31, 2024.</w:t>
      </w:r>
    </w:p>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A summary of non-marketable equity securities and equity method investment balances as of</w:t>
      </w:r>
      <w:r>
        <w:rPr>
          <w:color w:val="242424"/>
        </w:rPr>
        <w:t xml:space="preserve"> </w:t>
      </w:r>
      <w:r>
        <w:rPr>
          <w:rFonts w:ascii="Times New Roman;serif" w:hAnsi="Times New Roman;serif"/>
          <w:b w:val="false"/>
          <w:color w:val="242424"/>
          <w:sz w:val="20"/>
        </w:rPr>
        <w:t>December 31, 2025</w:t>
      </w:r>
      <w:r>
        <w:rPr>
          <w:color w:val="000000"/>
        </w:rPr>
        <w:t xml:space="preserve"> </w:t>
      </w:r>
      <w:r>
        <w:rPr>
          <w:rFonts w:ascii="Times New Roman;serif" w:hAnsi="Times New Roman;serif"/>
          <w:b w:val="false"/>
          <w:color w:val="000000"/>
          <w:sz w:val="20"/>
        </w:rPr>
        <w:t>and 2024 were as follows (in millions):</w:t>
      </w:r>
    </w:p>
    <w:tbl>
      <w:tblPr>
        <w:tblW w:w="5148" w:type="dxa"/>
        <w:jc w:val="left"/>
        <w:tblInd w:w="0" w:type="dxa"/>
        <w:tblLayout w:type="fixed"/>
        <w:tblCellMar>
          <w:top w:w="28" w:type="dxa"/>
          <w:left w:w="28" w:type="dxa"/>
          <w:bottom w:w="28" w:type="dxa"/>
          <w:right w:w="28" w:type="dxa"/>
        </w:tblCellMar>
      </w:tblPr>
      <w:tblGrid>
        <w:gridCol w:w="1016"/>
        <w:gridCol w:w="893"/>
        <w:gridCol w:w="896"/>
        <w:gridCol w:w="338"/>
        <w:gridCol w:w="579"/>
        <w:gridCol w:w="177"/>
        <w:gridCol w:w="109"/>
        <w:gridCol w:w="331"/>
        <w:gridCol w:w="567"/>
        <w:gridCol w:w="24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05"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 unrealized losses were recognized during the years ended December 31, 2025 and December 31, 2024 in the consolidated statements of operations related to non-marketable equity securities held as of December 31, 2025 and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4.VARIABLE INTEREST ENTITIES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Company utilizes VIEs in the normal course of business to support the Company’s financing needs. The Company determines whether the Company is the primary beneficiary of a VIE at the time it becomes involved with the VIE and reconsiders that conclusion on an on-going basis. See </w:t>
      </w:r>
      <w:r>
        <w:rPr>
          <w:color w:val="000000"/>
        </w:rPr>
        <w:t>“</w:t>
      </w:r>
      <w:r>
        <w:rPr>
          <w:rFonts w:ascii="Times New Roman;serif" w:hAnsi="Times New Roman;serif"/>
          <w:b w:val="false"/>
          <w:i/>
          <w:color w:val="000000"/>
          <w:sz w:val="20"/>
        </w:rPr>
        <w:t>Note 1 — Description of Business and Accounting Policies”</w:t>
      </w:r>
      <w:r>
        <w:rPr>
          <w:color w:val="000000"/>
        </w:rPr>
        <w:t xml:space="preserve"> </w:t>
      </w:r>
      <w:r>
        <w:rPr>
          <w:rFonts w:ascii="Times New Roman;serif" w:hAnsi="Times New Roman;serif"/>
          <w:b w:val="false"/>
          <w:color w:val="000000"/>
          <w:sz w:val="20"/>
        </w:rPr>
        <w:t>for further discussion of the Company’s “Consolidation of Variable Interest Entities” policy.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related to the VIEs consolidated by the Company as of December 31, 2025 and 2024 (in millions):</w:t>
      </w:r>
    </w:p>
    <w:tbl>
      <w:tblPr>
        <w:tblW w:w="6055" w:type="dxa"/>
        <w:jc w:val="left"/>
        <w:tblInd w:w="0" w:type="dxa"/>
        <w:tblLayout w:type="fixed"/>
        <w:tblCellMar>
          <w:top w:w="28" w:type="dxa"/>
          <w:left w:w="28" w:type="dxa"/>
          <w:bottom w:w="28" w:type="dxa"/>
          <w:right w:w="28" w:type="dxa"/>
        </w:tblCellMar>
      </w:tblPr>
      <w:tblGrid>
        <w:gridCol w:w="968"/>
        <w:gridCol w:w="854"/>
        <w:gridCol w:w="863"/>
        <w:gridCol w:w="338"/>
        <w:gridCol w:w="987"/>
        <w:gridCol w:w="174"/>
        <w:gridCol w:w="109"/>
        <w:gridCol w:w="109"/>
        <w:gridCol w:w="109"/>
        <w:gridCol w:w="332"/>
        <w:gridCol w:w="970"/>
        <w:gridCol w:w="242"/>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 net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0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escrow receivable and other current assets.</w:t>
      </w:r>
    </w:p>
    <w:p>
      <w:pPr>
        <w:pStyle w:val="TextBody"/>
        <w:bidi w:val="0"/>
        <w:spacing w:lineRule="auto" w:line="288" w:before="10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accounts payable and other accrued liabilities and interest payable.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the Company’s flexibility to transfer assets from Opendoor subsidiaries to the Parent Company. See </w:t>
      </w:r>
      <w:r>
        <w:rPr>
          <w:color w:val="000000"/>
        </w:rPr>
        <w:t>“</w:t>
      </w:r>
      <w:r>
        <w:rPr>
          <w:rFonts w:ascii="Times New Roman;serif" w:hAnsi="Times New Roman;serif"/>
          <w:b w:val="false"/>
          <w:i/>
          <w:color w:val="000000"/>
          <w:sz w:val="20"/>
        </w:rPr>
        <w:t>Note 5 — Credit Facilities, Long-Term Debt, and Convertible Notes”</w:t>
      </w:r>
      <w:r>
        <w:rPr>
          <w:color w:val="000000"/>
        </w:rPr>
        <w:t xml:space="preserve"> </w:t>
      </w:r>
      <w:r>
        <w:rPr>
          <w:rFonts w:ascii="Times New Roman;serif" w:hAnsi="Times New Roman;serif"/>
          <w:b w:val="false"/>
          <w:color w:val="000000"/>
          <w:sz w:val="20"/>
        </w:rPr>
        <w:t>for further discussion of the recourse obligations with respect to the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5.CREDIT FACILITIES, LONG-TERM DEBT, AND CONVERTIBLE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certain details related to the Company's non-recourse asset-backed debt as of December 31, 2025 and 2024 (in millions, except interest rates):</w:t>
      </w:r>
    </w:p>
    <w:tbl>
      <w:tblPr>
        <w:tblW w:w="10205" w:type="dxa"/>
        <w:jc w:val="left"/>
        <w:tblInd w:w="0" w:type="dxa"/>
        <w:tblLayout w:type="fixed"/>
        <w:tblCellMar>
          <w:top w:w="28" w:type="dxa"/>
          <w:left w:w="28" w:type="dxa"/>
          <w:bottom w:w="28" w:type="dxa"/>
          <w:right w:w="28" w:type="dxa"/>
        </w:tblCellMar>
      </w:tblPr>
      <w:tblGrid>
        <w:gridCol w:w="764"/>
        <w:gridCol w:w="546"/>
        <w:gridCol w:w="529"/>
        <w:gridCol w:w="109"/>
        <w:gridCol w:w="109"/>
        <w:gridCol w:w="109"/>
        <w:gridCol w:w="201"/>
        <w:gridCol w:w="572"/>
        <w:gridCol w:w="113"/>
        <w:gridCol w:w="109"/>
        <w:gridCol w:w="109"/>
        <w:gridCol w:w="109"/>
        <w:gridCol w:w="196"/>
        <w:gridCol w:w="406"/>
        <w:gridCol w:w="109"/>
        <w:gridCol w:w="109"/>
        <w:gridCol w:w="109"/>
        <w:gridCol w:w="109"/>
        <w:gridCol w:w="239"/>
        <w:gridCol w:w="678"/>
        <w:gridCol w:w="134"/>
        <w:gridCol w:w="109"/>
        <w:gridCol w:w="109"/>
        <w:gridCol w:w="109"/>
        <w:gridCol w:w="297"/>
        <w:gridCol w:w="259"/>
        <w:gridCol w:w="460"/>
        <w:gridCol w:w="109"/>
        <w:gridCol w:w="109"/>
        <w:gridCol w:w="109"/>
        <w:gridCol w:w="548"/>
        <w:gridCol w:w="548"/>
        <w:gridCol w:w="550"/>
        <w:gridCol w:w="109"/>
        <w:gridCol w:w="109"/>
        <w:gridCol w:w="109"/>
        <w:gridCol w:w="354"/>
        <w:gridCol w:w="303"/>
        <w:gridCol w:w="437"/>
      </w:tblGrid>
      <w:tr>
        <w:trPr/>
        <w:tc>
          <w:tcPr>
            <w:tcW w:w="7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Borrowing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End of Revolving / Withdrawal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Final Maturity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1, 2027</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3, 2028</w:t>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August 24, 2027</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10, 2026</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2027</w:t>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Mezzanine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2020-M1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2029</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1, 2027</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tbl>
      <w:tblPr>
        <w:tblW w:w="7343" w:type="dxa"/>
        <w:jc w:val="left"/>
        <w:tblInd w:w="0" w:type="dxa"/>
        <w:tblLayout w:type="fixed"/>
        <w:tblCellMar>
          <w:top w:w="28" w:type="dxa"/>
          <w:left w:w="28" w:type="dxa"/>
          <w:bottom w:w="28" w:type="dxa"/>
          <w:right w:w="28" w:type="dxa"/>
        </w:tblCellMar>
      </w:tblPr>
      <w:tblGrid>
        <w:gridCol w:w="1230"/>
        <w:gridCol w:w="1086"/>
        <w:gridCol w:w="1089"/>
        <w:gridCol w:w="109"/>
        <w:gridCol w:w="109"/>
        <w:gridCol w:w="109"/>
        <w:gridCol w:w="196"/>
        <w:gridCol w:w="421"/>
        <w:gridCol w:w="109"/>
        <w:gridCol w:w="109"/>
        <w:gridCol w:w="109"/>
        <w:gridCol w:w="109"/>
        <w:gridCol w:w="239"/>
        <w:gridCol w:w="678"/>
        <w:gridCol w:w="134"/>
        <w:gridCol w:w="109"/>
        <w:gridCol w:w="109"/>
        <w:gridCol w:w="109"/>
        <w:gridCol w:w="280"/>
        <w:gridCol w:w="276"/>
        <w:gridCol w:w="624"/>
      </w:tblGrid>
      <w:tr>
        <w:trPr/>
        <w:tc>
          <w:tcPr>
            <w:tcW w:w="123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Non-Recourse Asset-backed Debt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involving “bad acts” by an Opendoor entity and certain other limited circumstances.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total borrowing capacity with respect to its non-recourse asset-backed debt of $7.2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December 31, 2025, the Company had committed borrowing capacity with respect to the Company’s non-recourse asset backed debt of $1.6 billion; this committed borrowing capacity is comprised of $400 million for senior revolving credit facilities, $777 million for senior term debt facilities, and $450 million for mezzanine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$1 million, $2 million, and $9 million in loss on extinguishment of debt on the consolidated statements of operations for the years ended December 31, 2025, 2024 and 2023, respectively, related to the Company’s voluntary partial early repayment of non-recourse asset-backed term debt facilities. The loss on extinguishment of debt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 was comprised of $1 million in write-offs of associated unamortized deferred costs that were previously capitalized. The loss on extinguishment of debt for the year ended December 31, 2024 was comprised of $2 million in write offs of associated unamortized deferred costs that were previously capitalized. The loss on extinguishment of debt for the year ended December 31, 2023 was comprised of $4 million in prepayment fees and $5 million in write offs of associated unamortized deferred costs that were previously capitalized.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Revolving Credit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the senior revolving credit facilities as current liabilities on the Company’s consolidated balance sheets as amounts drawn to acquire and renovate homes are required to be repaid as the related real estate inventory is sold, which the Company expects to occur within 12 months.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senior revolving credit facilities are typically structured with an initial revolving period of up to 24 months, as may be amended and extended from time to time,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the senior revolving credit facilities accrue interest at various floating rates based on a secured overnight financing rate (“SOFR”), plus a margin that varies by facility.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or the performance of the properties financed under that facility declines, and any borrowing base deficiencies may be satisfied through contributions of additional properties or partial repayment of the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senior term debt facilities as current or non-current liabilities on the Company’s consolidated balance sheets based on the applicable final maturity date.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senior term debt facilities are typically structured with an initial withdrawal period up to 60 months, as may be amended and extended from time to time,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the senior term debt facilities accrue interest at a fixed rate. The Company’s senior term debt facilities may include upfront issuance costs that are capitalized as part of the facilities' respective carrying values. These facilities are fully prepayable at any time but may be subject to certain customary prepayment penalties.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Mezzanine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mezzanine term debt facilities as current or non-current liabilities on the Company’s consolidated balance sheets based on the applicable final maturity date. These facilities are structurally and contractually subordinated to the related asset-backed senior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mezzanine term debt facilities have been structured with an initial withdrawal period of up to 42 months, as may be amended and extended from time to time,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a given mezzanine term debt facility accrue interest at a fixed rate. The Company’s mezzanine term debt facilities include upfront issuance costs that are capitalized as part of the facilities’ respective carrying values. These facilities are fully prepayable at any time but may be subject to certain prepayment penalties.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mezzanine term debt facilities have aggregated property borrowing bases, which increase or decrease based on the cost and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inventory financing facilities include customary representations and warranties, covenants and events of default. Financed properties are subject to customary eligibility criteria and concentration limits.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terms of these inventory financing facilities and related financing documents require an Opendoor subsidiary to comply with customary financial covenants, such as maintaining certain levels of liquidity, tangible net worth or leverage (ratio of debt to tangible net worth). Certain of these financial covenants are calculated by reference to Opendoor Labs Inc. and its consolidated subsidiaries’ assets and liabilities. As a result, under certain circumstances, this may limit the Company’s flexibility to transfer assets from Opendoor subsidiaries to the Parent Company. At December 31, 2025 and December 31, 2024, $200 million and $250 million, respectively, of the Company's net assets were restricted as they reflect minimum net asset requirements at Opendoor Labs Inc. As of December 31, 2025, the Company was in compliance with all financial covenants and no event of default had occurred.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the Company issued 0.25% convertible senior notes due 2026 (the “2026 Notes”) and in May 2025, the Company issued 7.00% convertible senior notes due 2030 (the “2030 Notes”; collectively with the 2026 Notes,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Senior Notes”). The following tables summarize certain details related to the Convertible Senior Notes (in millions, except interest rates):</w:t>
      </w:r>
    </w:p>
    <w:tbl>
      <w:tblPr>
        <w:tblW w:w="10205" w:type="dxa"/>
        <w:jc w:val="left"/>
        <w:tblInd w:w="0" w:type="dxa"/>
        <w:tblLayout w:type="fixed"/>
        <w:tblCellMar>
          <w:top w:w="28" w:type="dxa"/>
          <w:left w:w="28" w:type="dxa"/>
          <w:bottom w:w="28" w:type="dxa"/>
          <w:right w:w="28" w:type="dxa"/>
        </w:tblCellMar>
      </w:tblPr>
      <w:tblGrid>
        <w:gridCol w:w="858"/>
        <w:gridCol w:w="709"/>
        <w:gridCol w:w="707"/>
        <w:gridCol w:w="109"/>
        <w:gridCol w:w="109"/>
        <w:gridCol w:w="109"/>
        <w:gridCol w:w="670"/>
        <w:gridCol w:w="1486"/>
        <w:gridCol w:w="350"/>
        <w:gridCol w:w="109"/>
        <w:gridCol w:w="109"/>
        <w:gridCol w:w="109"/>
        <w:gridCol w:w="844"/>
        <w:gridCol w:w="1625"/>
        <w:gridCol w:w="440"/>
        <w:gridCol w:w="109"/>
        <w:gridCol w:w="109"/>
        <w:gridCol w:w="109"/>
        <w:gridCol w:w="388"/>
        <w:gridCol w:w="857"/>
        <w:gridCol w:w="290"/>
      </w:tblGrid>
      <w:tr>
        <w:trPr/>
        <w:tc>
          <w:tcPr>
            <w:tcW w:w="8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Remaining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Unamortized Debt Discount and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8"/>
        <w:gridCol w:w="709"/>
        <w:gridCol w:w="707"/>
        <w:gridCol w:w="109"/>
        <w:gridCol w:w="109"/>
        <w:gridCol w:w="109"/>
        <w:gridCol w:w="670"/>
        <w:gridCol w:w="1486"/>
        <w:gridCol w:w="350"/>
        <w:gridCol w:w="109"/>
        <w:gridCol w:w="109"/>
        <w:gridCol w:w="109"/>
        <w:gridCol w:w="1038"/>
        <w:gridCol w:w="1332"/>
        <w:gridCol w:w="540"/>
        <w:gridCol w:w="109"/>
        <w:gridCol w:w="109"/>
        <w:gridCol w:w="109"/>
        <w:gridCol w:w="388"/>
        <w:gridCol w:w="857"/>
        <w:gridCol w:w="289"/>
      </w:tblGrid>
      <w:tr>
        <w:trPr/>
        <w:tc>
          <w:tcPr>
            <w:tcW w:w="8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Remaining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Unamortized Debt Discount and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82"/>
        <w:gridCol w:w="337"/>
        <w:gridCol w:w="338"/>
        <w:gridCol w:w="109"/>
        <w:gridCol w:w="109"/>
        <w:gridCol w:w="109"/>
        <w:gridCol w:w="329"/>
        <w:gridCol w:w="329"/>
        <w:gridCol w:w="330"/>
        <w:gridCol w:w="109"/>
        <w:gridCol w:w="109"/>
        <w:gridCol w:w="109"/>
        <w:gridCol w:w="387"/>
        <w:gridCol w:w="241"/>
        <w:gridCol w:w="601"/>
        <w:gridCol w:w="109"/>
        <w:gridCol w:w="109"/>
        <w:gridCol w:w="109"/>
        <w:gridCol w:w="357"/>
        <w:gridCol w:w="238"/>
        <w:gridCol w:w="595"/>
        <w:gridCol w:w="109"/>
        <w:gridCol w:w="109"/>
        <w:gridCol w:w="109"/>
        <w:gridCol w:w="532"/>
        <w:gridCol w:w="532"/>
        <w:gridCol w:w="534"/>
        <w:gridCol w:w="109"/>
        <w:gridCol w:w="109"/>
        <w:gridCol w:w="109"/>
        <w:gridCol w:w="351"/>
        <w:gridCol w:w="351"/>
        <w:gridCol w:w="353"/>
        <w:gridCol w:w="109"/>
        <w:gridCol w:w="109"/>
        <w:gridCol w:w="109"/>
        <w:gridCol w:w="239"/>
        <w:gridCol w:w="700"/>
        <w:gridCol w:w="187"/>
      </w:tblGrid>
      <w:tr>
        <w:trPr/>
        <w:tc>
          <w:tcPr>
            <w:tcW w:w="3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Stated Cash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Semi-Annual Interest Payment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Price</w:t>
            </w:r>
          </w:p>
        </w:tc>
      </w:tr>
      <w:tr>
        <w:trPr/>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15; November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2026 Notes are convertible at the option of the holders of the 2026 Notes before February 15, 2026 only upon the occurrence of certain events. In addition, the holders of the 2026 Notes have the right to require the Company to repurchase all or part of their 2026 Notes if certain corporate events occur that constitute a fundamental change. Beginning on August 20, 2024, the Company has the option to redeem the 2026 Notes, in whole or in part, upon meeting certain conditions related to the price of the Company’s common stock. The redemption price will be paid in cash equal to 100% of the principal amount of the 2026 Notes to be redeemed, plus accrued and unpaid interest, if any. Beginning on February 15, 2026 and until the close of business on the second scheduled trading day immediately preceding the maturity date, the 2026 Notes are convertible at any time at the election of each noteholder. The conversion rate and conversion price are subject to customary adjustments under certain circumstances. In addition, if certain corporate events that constitute a make-whole fundamental change occur, then the conversion rate will, in certain circumstances, be increased for a specified period of time. Upon conversion, the Company may satisfy its obligation by paying cash for the outstanding principal balance, and, a combination of cash and the Company’s common stock, at the Company’s election, for the remaining amount, if any, based on the applicable conversion rate. Refer to </w:t>
      </w:r>
      <w:r>
        <w:rPr>
          <w:rFonts w:ascii="Times New Roman;serif" w:hAnsi="Times New Roman;serif"/>
          <w:b w:val="false"/>
          <w:i/>
          <w:color w:val="000000"/>
          <w:sz w:val="20"/>
        </w:rPr>
        <w:t>2030 Notes</w:t>
      </w:r>
      <w:r>
        <w:rPr>
          <w:color w:val="000000"/>
        </w:rPr>
        <w:t xml:space="preserve"> </w:t>
      </w:r>
      <w:r>
        <w:rPr>
          <w:rFonts w:ascii="Times New Roman;serif" w:hAnsi="Times New Roman;serif"/>
          <w:b w:val="false"/>
          <w:color w:val="000000"/>
          <w:sz w:val="20"/>
        </w:rPr>
        <w:t>section below for information regarding the extinguishment of certain 2026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entered into separate, privately negotiated transactions to repurchase a portion of the outstanding 2026 Notes (“Repurchased 2026 Notes”). The holders of the Repurchased 2026 Notes exchanged $597 million in aggregate principal amount for aggregate payments of $360 million in cash for full settlement of the principal value and accrued interest on such date. The Company accounted for the repurchase as a debt extinguishment. Accordingly, the Company: (i) reduced the carrying value of the Repurchased 2026 Notes by $597 million, (ii) reduced outstanding deferred issuance costs by $10 million, (iii) incurred fees of $2 million and (iv) recorded $225 million of gain on debt extinguishment.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During the year ended December 31, 2025, the Company announced a Warrant Dividend, refer to “</w:t>
      </w:r>
      <w:r>
        <w:rPr>
          <w:rFonts w:ascii="Times New Roman;serif" w:hAnsi="Times New Roman;serif"/>
          <w:b w:val="false"/>
          <w:i/>
          <w:color w:val="000000"/>
          <w:sz w:val="20"/>
        </w:rPr>
        <w:t>Note 11 – Shareholders’ Equity.”</w:t>
      </w:r>
      <w:r>
        <w:rPr>
          <w:color w:val="000000"/>
        </w:rPr>
        <w:t xml:space="preserve"> </w:t>
      </w:r>
      <w:r>
        <w:rPr>
          <w:rFonts w:ascii="Times New Roman;serif" w:hAnsi="Times New Roman;serif"/>
          <w:b w:val="false"/>
          <w:color w:val="000000"/>
          <w:sz w:val="20"/>
        </w:rPr>
        <w:t>In lieu of participating in the Warrant Dividend, the conversion rate for the 2026 Notes was adjusted from 51.9926 to 53.7097.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2025, the Company entered into privately negotiated transactions with certain holders of the 2026 Notes and new investors, pursuant to which the Company issued $325 million aggregate principal amount of 2030 Notes consisting of (i) $246 million aggregate principal amount of 2030 Notes issued in exchange for $246 million principal amount of 2026 Notes (the “Debt Exchange") and (ii) $79 million aggregate principal amount of 2030 Notes issued for cash. Such transactions resulted in gross cash proceeds of $75 million, excluding certain fees and other offering expenses, and represent an issue price of 95%. The Company accounted for the Debt Exchange of the 2026 Notes as a debt extinguishment and recorded $10 million of gain on debt extinguishment, included within the Company's consolidated statements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are convertible at the option of the holders of the 2030 Notes before November 15, 2029 only upon the occurrence of certain events. In addition, the holders of the 2030 Notes have the right to require the Company to repurchase all or part of their 2030 Notes (i) if certain corporate events occur that constitute a fundamental change or (ii) for a one-time optional repurchase on May 15, 2028. Beginning on May 22, 2028, the Company has the option to redeem the 2030 Notes, in whole or in part, upon meeting certain conditions related to the price of the Company's common stock. The redemption or repurchase price will be paid in cash equal to 100% of the principal amount of the 2030 Notes to be redeemed or repurchased, plus accrued and unpaid interest, if any. Beginning on November 15, 2029 and until the close of business on the second scheduled trading day immediately preceding the maturity date, the 2030 Notes are convertible at any time at the election of each noteholder. The conversion rate and conversion price are subject to customary adjustments under certain circumstances. In addition, if certain corporate events that constitute a make-whole fundamental change occur, then the conversion rate will, under certain circumstances, be increased for a specified period of time. Upon conversion, the Company may satisfy its obligation by paying cash for the outstanding principal balance, and, a combination of cash and the Company's common stock, at the Company's election, for the remaining amount, if any, based on the applicable conversion rate.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2030 Notes become convertible during any calendar quarter if, during the 30 consecutive trading days ending on, and including, the last trading day of the immediately preceding calendar quarter, the last reported sale price of the Company’s common stock exceeds 130% of the conversion price for at least 20 trading days. This condition was met during the third and fourth quarter of 2025. Accordingly, the 2030 Notes became convertible at the option of the noteholders on October 1, 2025 and remain convertible through March 31, 2026 and are classified as a current liability in the consolidated balance sheets as of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entered into share purchase agreements with a limited number of purchasers (together, the “Purchasers”), providing for the issuance and sale by the Company of an aggregate of 180,580,200 shares of common stock at a price of $6.56 per share (the “Registered Direct Offering”). Concurrent with the Registered Direct Offering, the Company entered into separate, privately negotiated transactions with the Purchasers, pursuant to which the Company agreed to repurchase an aggregate of approximately $264 million principal amount of the 2030 Notes for an aggregate repurchase price of approximately $1.2 billion, which the Company repurchased using the net proceeds from the Registered Direct Offering (the “Convertible Notes Repurchase”). On a net basis, the Company did not receive any proceeds from these transactions. The Company accounted for the transaction as a debt extinguishment by recognizing the difference between the reacquisition price of the debt and the net carrying amount of the retired 2030 Notes as loss on debt extinguishment. Accordingly, on the retirement date, the Company: (i) reduced the carrying value of the 2030 Notes by $264 million, (ii) reduced outstanding deferred issuance costs and original issuance discount by $16 million, (iii) incurred fees of $4 million and (iv) recorded $933 million of loss on debt extinguishment, included within the Company’s consolidated statements of operations. The outstanding principal balance of the 2030 Notes as of December 31, 2025 is $62 million.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interest expense related to the Convertible Senior Notes (in millions):</w:t>
      </w:r>
    </w:p>
    <w:tbl>
      <w:tblPr>
        <w:tblW w:w="6626" w:type="dxa"/>
        <w:jc w:val="left"/>
        <w:tblInd w:w="0" w:type="dxa"/>
        <w:tblLayout w:type="fixed"/>
        <w:tblCellMar>
          <w:top w:w="28" w:type="dxa"/>
          <w:left w:w="28" w:type="dxa"/>
          <w:bottom w:w="28" w:type="dxa"/>
          <w:right w:w="28" w:type="dxa"/>
        </w:tblCellMar>
      </w:tblPr>
      <w:tblGrid>
        <w:gridCol w:w="1481"/>
        <w:gridCol w:w="1303"/>
        <w:gridCol w:w="1310"/>
        <w:gridCol w:w="211"/>
        <w:gridCol w:w="361"/>
        <w:gridCol w:w="109"/>
        <w:gridCol w:w="109"/>
        <w:gridCol w:w="109"/>
        <w:gridCol w:w="109"/>
        <w:gridCol w:w="211"/>
        <w:gridCol w:w="256"/>
        <w:gridCol w:w="109"/>
        <w:gridCol w:w="109"/>
        <w:gridCol w:w="109"/>
        <w:gridCol w:w="109"/>
        <w:gridCol w:w="211"/>
        <w:gridCol w:w="25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2021, in connection with the issuance of the 2026 Notes, the Company purchased Capped Calls from certain financial institutions at a cost of $119 million. The Capped Calls covered, subject to customary adjustments, the number of shares of the Company's common stock underlying the 2026 Notes. By entering into the Capped Calls, the Company expected to reduce the potential dilution to its common stock (or, in the event a conversion of the 2026 Notes was settled in cash, to reduce its cash payment obligation) in the event that at the time of conversion of the 2026 Notes its common stock price exceeded the conversion price. The Capped Calls had an initial strike price of $19.23 per share and an initial cap price of $29.59 per share or a cap price premium of 100%.</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settled 75% of the Capped Calls and received cash of $2 million from certain counterparties, which was recognized as an increase in additional paid-in-capital. In August 2025, the Company settled the remaining outstanding Capped Calls and received cash of $1 million from certain counterparties, which was recognized as an increase in additional paid-in-capital.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6.FAIR VALUE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fair value measurements to record fair value adjustments to certain assets and liabilities and to determine fair value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Fair value measurements of assets and liabilities are categorized based on the following hierarchy:</w:t>
      </w:r>
    </w:p>
    <w:p>
      <w:pPr>
        <w:pStyle w:val="TextBody"/>
        <w:bidi w:val="0"/>
        <w:spacing w:lineRule="auto" w:line="288" w:before="240" w:after="283"/>
        <w:ind w:left="0" w:right="0" w:firstLine="400"/>
        <w:jc w:val="left"/>
        <w:rPr/>
      </w:pPr>
      <w:r>
        <w:rPr>
          <w:rFonts w:ascii="Times New Roman;serif" w:hAnsi="Times New Roman;serif"/>
          <w:b/>
          <w:i/>
          <w:color w:val="000000"/>
          <w:sz w:val="20"/>
        </w:rPr>
        <w:t>Level 1 —</w:t>
      </w:r>
      <w:r>
        <w:rPr>
          <w:color w:val="000000"/>
        </w:rPr>
        <w:t> </w:t>
      </w:r>
      <w:r>
        <w:rPr>
          <w:rFonts w:ascii="Times New Roman;serif" w:hAnsi="Times New Roman;serif"/>
          <w:b w:val="false"/>
          <w:color w:val="000000"/>
          <w:sz w:val="20"/>
        </w:rPr>
        <w:t>Fair value determined based on quoted prices in active markets for identical assets or liabilities.</w:t>
      </w:r>
    </w:p>
    <w:p>
      <w:pPr>
        <w:pStyle w:val="TextBody"/>
        <w:bidi w:val="0"/>
        <w:spacing w:lineRule="auto" w:line="288" w:before="240" w:after="283"/>
        <w:ind w:left="0" w:right="0" w:firstLine="400"/>
        <w:jc w:val="left"/>
        <w:rPr/>
      </w:pPr>
      <w:r>
        <w:rPr>
          <w:rFonts w:ascii="Times New Roman;serif" w:hAnsi="Times New Roman;serif"/>
          <w:b/>
          <w:i/>
          <w:color w:val="000000"/>
          <w:sz w:val="20"/>
        </w:rPr>
        <w:t>Level 2 —</w:t>
      </w:r>
      <w:r>
        <w:rPr>
          <w:color w:val="000000"/>
        </w:rPr>
        <w:t> </w:t>
      </w:r>
      <w:r>
        <w:rPr>
          <w:rFonts w:ascii="Times New Roman;serif" w:hAnsi="Times New Roman;serif"/>
          <w:b w:val="false"/>
          <w:color w:val="000000"/>
          <w:sz w:val="20"/>
        </w:rPr>
        <w:t>Fair value determined using significant observable inputs, such as quoted prices for similar assets or liabilities or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pStyle w:val="TextBody"/>
        <w:bidi w:val="0"/>
        <w:spacing w:lineRule="auto" w:line="288" w:before="240" w:after="283"/>
        <w:ind w:left="0" w:right="0" w:firstLine="400"/>
        <w:jc w:val="left"/>
        <w:rPr/>
      </w:pPr>
      <w:r>
        <w:rPr>
          <w:rFonts w:ascii="Times New Roman;serif" w:hAnsi="Times New Roman;serif"/>
          <w:b/>
          <w:i/>
          <w:color w:val="000000"/>
          <w:sz w:val="20"/>
        </w:rPr>
        <w:t>Level 3 —</w:t>
      </w:r>
      <w:r>
        <w:rPr>
          <w:color w:val="000000"/>
        </w:rPr>
        <w:t> </w:t>
      </w:r>
      <w:r>
        <w:rPr>
          <w:rFonts w:ascii="Times New Roman;serif" w:hAnsi="Times New Roman;serif"/>
          <w:b w:val="false"/>
          <w:color w:val="000000"/>
          <w:sz w:val="20"/>
        </w:rPr>
        <w:t>Fair value determined using significant unobservable inputs, such as pricing models, discounted cash flows, or similar techniques.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Estimation of Fair Value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measurement methodologies, including significant inputs and assumptions, and classification of the Company’s assets and liabilities recorded at fair value on a recurring basis. </w:t>
      </w:r>
    </w:p>
    <w:tbl>
      <w:tblPr>
        <w:tblW w:w="10205" w:type="dxa"/>
        <w:jc w:val="left"/>
        <w:tblInd w:w="0" w:type="dxa"/>
        <w:tblLayout w:type="fixed"/>
        <w:tblCellMar>
          <w:top w:w="28" w:type="dxa"/>
          <w:left w:w="28" w:type="dxa"/>
          <w:bottom w:w="28" w:type="dxa"/>
          <w:right w:w="28" w:type="dxa"/>
        </w:tblCellMar>
      </w:tblPr>
      <w:tblGrid>
        <w:gridCol w:w="684"/>
        <w:gridCol w:w="574"/>
        <w:gridCol w:w="568"/>
        <w:gridCol w:w="109"/>
        <w:gridCol w:w="109"/>
        <w:gridCol w:w="109"/>
        <w:gridCol w:w="1513"/>
        <w:gridCol w:w="1513"/>
        <w:gridCol w:w="1516"/>
        <w:gridCol w:w="109"/>
        <w:gridCol w:w="109"/>
        <w:gridCol w:w="109"/>
        <w:gridCol w:w="928"/>
        <w:gridCol w:w="928"/>
        <w:gridCol w:w="1327"/>
      </w:tblGrid>
      <w:tr>
        <w:trPr/>
        <w:tc>
          <w:tcPr>
            <w:tcW w:w="68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Asset/Liability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Valuation Methodology, Inputs and</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 is quoted given the securities are traded on an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recurring fair value measurement.</w:t>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Assets and Liabilities Recorded at Fair Value on a Recurring Basis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did not have any assets or liabilities measured at fair value on a recurring basis. The following tables present the levels of the fair value hierarchy for the Company’s assets measured at fair value on a recurring basis as of December 31, 2024 (in millions):</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tbl>
      <w:tblPr>
        <w:tblW w:w="6723" w:type="dxa"/>
        <w:jc w:val="left"/>
        <w:tblInd w:w="0" w:type="dxa"/>
        <w:tblLayout w:type="fixed"/>
        <w:tblCellMar>
          <w:top w:w="28" w:type="dxa"/>
          <w:left w:w="28" w:type="dxa"/>
          <w:bottom w:w="28" w:type="dxa"/>
          <w:right w:w="28" w:type="dxa"/>
        </w:tblCellMar>
      </w:tblPr>
      <w:tblGrid>
        <w:gridCol w:w="694"/>
        <w:gridCol w:w="612"/>
        <w:gridCol w:w="614"/>
        <w:gridCol w:w="619"/>
        <w:gridCol w:w="752"/>
        <w:gridCol w:w="323"/>
        <w:gridCol w:w="109"/>
        <w:gridCol w:w="109"/>
        <w:gridCol w:w="109"/>
        <w:gridCol w:w="231"/>
        <w:gridCol w:w="280"/>
        <w:gridCol w:w="120"/>
        <w:gridCol w:w="109"/>
        <w:gridCol w:w="109"/>
        <w:gridCol w:w="109"/>
        <w:gridCol w:w="211"/>
        <w:gridCol w:w="406"/>
        <w:gridCol w:w="109"/>
        <w:gridCol w:w="109"/>
        <w:gridCol w:w="109"/>
        <w:gridCol w:w="109"/>
        <w:gridCol w:w="211"/>
        <w:gridCol w:w="40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carrying value, estimated fair value and the levels of the fair value hierarchy for the Company’s financial instruments other than assets and liabilities measured at fair value on a recurring basis (in millions):</w:t>
      </w:r>
    </w:p>
    <w:tbl>
      <w:tblPr>
        <w:tblW w:w="8872" w:type="dxa"/>
        <w:jc w:val="left"/>
        <w:tblInd w:w="0" w:type="dxa"/>
        <w:tblLayout w:type="fixed"/>
        <w:tblCellMar>
          <w:top w:w="28" w:type="dxa"/>
          <w:left w:w="28" w:type="dxa"/>
          <w:bottom w:w="28" w:type="dxa"/>
          <w:right w:w="28" w:type="dxa"/>
        </w:tblCellMar>
      </w:tblPr>
      <w:tblGrid>
        <w:gridCol w:w="1663"/>
        <w:gridCol w:w="1464"/>
        <w:gridCol w:w="1477"/>
        <w:gridCol w:w="211"/>
        <w:gridCol w:w="466"/>
        <w:gridCol w:w="109"/>
        <w:gridCol w:w="109"/>
        <w:gridCol w:w="109"/>
        <w:gridCol w:w="109"/>
        <w:gridCol w:w="237"/>
        <w:gridCol w:w="525"/>
        <w:gridCol w:w="122"/>
        <w:gridCol w:w="109"/>
        <w:gridCol w:w="109"/>
        <w:gridCol w:w="109"/>
        <w:gridCol w:w="211"/>
        <w:gridCol w:w="466"/>
        <w:gridCol w:w="109"/>
        <w:gridCol w:w="109"/>
        <w:gridCol w:w="109"/>
        <w:gridCol w:w="109"/>
        <w:gridCol w:w="211"/>
        <w:gridCol w:w="466"/>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 –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current portion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 – net of current portion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8872" w:type="dxa"/>
        <w:jc w:val="left"/>
        <w:tblInd w:w="0" w:type="dxa"/>
        <w:tblLayout w:type="fixed"/>
        <w:tblCellMar>
          <w:top w:w="28" w:type="dxa"/>
          <w:left w:w="28" w:type="dxa"/>
          <w:bottom w:w="28" w:type="dxa"/>
          <w:right w:w="28" w:type="dxa"/>
        </w:tblCellMar>
      </w:tblPr>
      <w:tblGrid>
        <w:gridCol w:w="1663"/>
        <w:gridCol w:w="1464"/>
        <w:gridCol w:w="1477"/>
        <w:gridCol w:w="211"/>
        <w:gridCol w:w="466"/>
        <w:gridCol w:w="109"/>
        <w:gridCol w:w="109"/>
        <w:gridCol w:w="109"/>
        <w:gridCol w:w="109"/>
        <w:gridCol w:w="237"/>
        <w:gridCol w:w="525"/>
        <w:gridCol w:w="122"/>
        <w:gridCol w:w="109"/>
        <w:gridCol w:w="109"/>
        <w:gridCol w:w="109"/>
        <w:gridCol w:w="211"/>
        <w:gridCol w:w="466"/>
        <w:gridCol w:w="109"/>
        <w:gridCol w:w="109"/>
        <w:gridCol w:w="109"/>
        <w:gridCol w:w="109"/>
        <w:gridCol w:w="211"/>
        <w:gridCol w:w="466"/>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 –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 – net of current portion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net of current portion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7.PROPERTY AND EQUIPMENT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as of December 31, 2025 and 2024, consisted of the following (in millions):</w:t>
      </w:r>
    </w:p>
    <w:tbl>
      <w:tblPr>
        <w:tblW w:w="5633" w:type="dxa"/>
        <w:jc w:val="left"/>
        <w:tblInd w:w="0" w:type="dxa"/>
        <w:tblLayout w:type="fixed"/>
        <w:tblCellMar>
          <w:top w:w="28" w:type="dxa"/>
          <w:left w:w="28" w:type="dxa"/>
          <w:bottom w:w="28" w:type="dxa"/>
          <w:right w:w="28" w:type="dxa"/>
        </w:tblCellMar>
      </w:tblPr>
      <w:tblGrid>
        <w:gridCol w:w="1334"/>
        <w:gridCol w:w="1176"/>
        <w:gridCol w:w="1179"/>
        <w:gridCol w:w="211"/>
        <w:gridCol w:w="466"/>
        <w:gridCol w:w="109"/>
        <w:gridCol w:w="109"/>
        <w:gridCol w:w="109"/>
        <w:gridCol w:w="109"/>
        <w:gridCol w:w="211"/>
        <w:gridCol w:w="466"/>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systems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implementation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$31 million, $33 million, and $38 million was recorded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8.LEASES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throughout the United States and India under operating and short-term lease agreements. These lease agreements have terms not exceeding 11 years and some contain multi-year renewal options or early termination options that are not considered reasonably certain of exercise except as discussed below. The Company also leases equipment under immaterial finance lease agreements.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Components of lease costs for the years ended the December 31, 2025, 2024, and 2023, are as follows (in millions): </w:t>
      </w:r>
    </w:p>
    <w:tbl>
      <w:tblPr>
        <w:tblW w:w="4331" w:type="dxa"/>
        <w:jc w:val="left"/>
        <w:tblInd w:w="0" w:type="dxa"/>
        <w:tblLayout w:type="fixed"/>
        <w:tblCellMar>
          <w:top w:w="28" w:type="dxa"/>
          <w:left w:w="28" w:type="dxa"/>
          <w:bottom w:w="28" w:type="dxa"/>
          <w:right w:w="28" w:type="dxa"/>
        </w:tblCellMar>
      </w:tblPr>
      <w:tblGrid>
        <w:gridCol w:w="651"/>
        <w:gridCol w:w="572"/>
        <w:gridCol w:w="576"/>
        <w:gridCol w:w="211"/>
        <w:gridCol w:w="256"/>
        <w:gridCol w:w="109"/>
        <w:gridCol w:w="109"/>
        <w:gridCol w:w="109"/>
        <w:gridCol w:w="109"/>
        <w:gridCol w:w="211"/>
        <w:gridCol w:w="256"/>
        <w:gridCol w:w="109"/>
        <w:gridCol w:w="109"/>
        <w:gridCol w:w="109"/>
        <w:gridCol w:w="109"/>
        <w:gridCol w:w="211"/>
        <w:gridCol w:w="36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lease information (in millions):</w:t>
      </w:r>
    </w:p>
    <w:tbl>
      <w:tblPr>
        <w:tblW w:w="9491" w:type="dxa"/>
        <w:jc w:val="left"/>
        <w:tblInd w:w="0" w:type="dxa"/>
        <w:tblLayout w:type="fixed"/>
        <w:tblCellMar>
          <w:top w:w="28" w:type="dxa"/>
          <w:left w:w="28" w:type="dxa"/>
          <w:bottom w:w="28" w:type="dxa"/>
          <w:right w:w="28" w:type="dxa"/>
        </w:tblCellMar>
      </w:tblPr>
      <w:tblGrid>
        <w:gridCol w:w="2398"/>
        <w:gridCol w:w="2107"/>
        <w:gridCol w:w="2124"/>
        <w:gridCol w:w="211"/>
        <w:gridCol w:w="331"/>
        <w:gridCol w:w="109"/>
        <w:gridCol w:w="109"/>
        <w:gridCol w:w="109"/>
        <w:gridCol w:w="109"/>
        <w:gridCol w:w="211"/>
        <w:gridCol w:w="436"/>
        <w:gridCol w:w="109"/>
        <w:gridCol w:w="109"/>
        <w:gridCol w:w="109"/>
        <w:gridCol w:w="109"/>
        <w:gridCol w:w="211"/>
        <w:gridCol w:w="436"/>
        <w:gridCol w:w="154"/>
      </w:tblGrid>
      <w:tr>
        <w:trPr/>
        <w:tc>
          <w:tcPr>
            <w:tcW w:w="239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or acquired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In May 2025, the Company amended its Tempe, Arizona office lease to terminate the Company’s obligation with respect to a portion of the leased premises (“Partial Lease Termination”). The Partial Lease Termination resulted in a decrease of undiscounted, future lease payments of $10 million. The Company recognized a loss of $1 million, as a result of the reduction of right-of-use assets by $8 million and lease liabilities by $7 million, and an additional $2 million in other associated costs, both of which are recognized within Restructuring on the consolidated statements of operations. See </w:t>
      </w:r>
      <w:r>
        <w:rPr>
          <w:color w:val="000000"/>
        </w:rPr>
        <w:t>“</w:t>
      </w:r>
      <w:r>
        <w:rPr>
          <w:rFonts w:ascii="Times New Roman;serif" w:hAnsi="Times New Roman;serif"/>
          <w:b w:val="false"/>
          <w:i/>
          <w:color w:val="000000"/>
          <w:sz w:val="20"/>
        </w:rPr>
        <w:t>Note 20 — Restructuring”</w:t>
      </w:r>
      <w:r>
        <w:rPr>
          <w:color w:val="000000"/>
        </w:rPr>
        <w:t xml:space="preserve"> </w:t>
      </w:r>
      <w:r>
        <w:rPr>
          <w:rFonts w:ascii="Times New Roman;serif" w:hAnsi="Times New Roman;serif"/>
          <w:b w:val="false"/>
          <w:color w:val="000000"/>
          <w:sz w:val="20"/>
        </w:rPr>
        <w:t xml:space="preserve">for further discussion. There were no other material lease modifications for the year ended December 31, 2025.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In December 2024, certain operating leases were terminated early by the Company, which resulted in a decrease of undiscounted, future lease payments of $8 million. These early terminations resulted in the reduction of right-of-use assets and lease liabilities of approximately $13 million. The Company paid $4 million in early termination fees associated with these leases and recognized $3 million in total lease termination costs which are recognized in Restructuring on the consolidated statements of operations. See </w:t>
      </w:r>
      <w:r>
        <w:rPr>
          <w:color w:val="000000"/>
        </w:rPr>
        <w:t>“</w:t>
      </w:r>
      <w:r>
        <w:rPr>
          <w:rFonts w:ascii="Times New Roman;serif" w:hAnsi="Times New Roman;serif"/>
          <w:b w:val="false"/>
          <w:i/>
          <w:color w:val="000000"/>
          <w:sz w:val="20"/>
        </w:rPr>
        <w:t>Note 20 — Restructuring”</w:t>
      </w:r>
      <w:r>
        <w:rPr>
          <w:color w:val="000000"/>
        </w:rPr>
        <w:t xml:space="preserve"> </w:t>
      </w:r>
      <w:r>
        <w:rPr>
          <w:rFonts w:ascii="Times New Roman;serif" w:hAnsi="Times New Roman;serif"/>
          <w:b w:val="false"/>
          <w:color w:val="000000"/>
          <w:sz w:val="20"/>
        </w:rPr>
        <w:t xml:space="preserve">for further discussion.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 average lease term and the weighted average discount rate are as follows:</w:t>
      </w:r>
    </w:p>
    <w:tbl>
      <w:tblPr>
        <w:tblW w:w="7665" w:type="dxa"/>
        <w:jc w:val="left"/>
        <w:tblInd w:w="0" w:type="dxa"/>
        <w:tblLayout w:type="fixed"/>
        <w:tblCellMar>
          <w:top w:w="28" w:type="dxa"/>
          <w:left w:w="28" w:type="dxa"/>
          <w:bottom w:w="28" w:type="dxa"/>
          <w:right w:w="28" w:type="dxa"/>
        </w:tblCellMar>
      </w:tblPr>
      <w:tblGrid>
        <w:gridCol w:w="2075"/>
        <w:gridCol w:w="1822"/>
        <w:gridCol w:w="1832"/>
        <w:gridCol w:w="255"/>
        <w:gridCol w:w="256"/>
        <w:gridCol w:w="271"/>
        <w:gridCol w:w="109"/>
        <w:gridCol w:w="109"/>
        <w:gridCol w:w="109"/>
        <w:gridCol w:w="255"/>
        <w:gridCol w:w="256"/>
        <w:gridCol w:w="316"/>
      </w:tblGrid>
      <w:tr>
        <w:trPr/>
        <w:tc>
          <w:tcPr>
            <w:tcW w:w="207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for operating leases (in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for 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Maturity of operating lease liabilities as of December 31, 2025 are as follows (in millions): </w:t>
      </w:r>
    </w:p>
    <w:tbl>
      <w:tblPr>
        <w:tblW w:w="3740" w:type="dxa"/>
        <w:jc w:val="left"/>
        <w:tblInd w:w="0" w:type="dxa"/>
        <w:tblLayout w:type="fixed"/>
        <w:tblCellMar>
          <w:top w:w="28" w:type="dxa"/>
          <w:left w:w="28" w:type="dxa"/>
          <w:bottom w:w="28" w:type="dxa"/>
          <w:right w:w="28" w:type="dxa"/>
        </w:tblCellMar>
      </w:tblPr>
      <w:tblGrid>
        <w:gridCol w:w="1128"/>
        <w:gridCol w:w="988"/>
        <w:gridCol w:w="1003"/>
        <w:gridCol w:w="211"/>
        <w:gridCol w:w="256"/>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future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9.GOODWILL AND INTANGIBLE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there were no additions to goodwill and there was no impairment of goodwill.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no remaining intangible assets subject to amortization. Amortization expense for intangible assets was $4 million and $7 million for the years ended December 31, 2024 and 2023, respectively.</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450"/>
        <w:jc w:val="left"/>
        <w:rPr>
          <w:rFonts w:ascii="Times New Roman;serif" w:hAnsi="Times New Roman;serif"/>
          <w:b/>
          <w:color w:val="000000"/>
          <w:sz w:val="20"/>
        </w:rPr>
      </w:pPr>
      <w:r>
        <w:rPr>
          <w:rFonts w:ascii="Times New Roman;serif" w:hAnsi="Times New Roman;serif"/>
          <w:b/>
          <w:color w:val="000000"/>
          <w:sz w:val="20"/>
        </w:rPr>
        <w:t>10.ACCOUNTS PAYABLE AND OTHER ACCRUED LIABILITIES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as of December 31, 2025 and 2024, consisted of the following:</w:t>
      </w:r>
    </w:p>
    <w:tbl>
      <w:tblPr>
        <w:tblW w:w="6591" w:type="dxa"/>
        <w:jc w:val="left"/>
        <w:tblInd w:w="0" w:type="dxa"/>
        <w:tblLayout w:type="fixed"/>
        <w:tblCellMar>
          <w:top w:w="28" w:type="dxa"/>
          <w:left w:w="28" w:type="dxa"/>
          <w:bottom w:w="28" w:type="dxa"/>
          <w:right w:w="28" w:type="dxa"/>
        </w:tblCellMar>
      </w:tblPr>
      <w:tblGrid>
        <w:gridCol w:w="1640"/>
        <w:gridCol w:w="1441"/>
        <w:gridCol w:w="1449"/>
        <w:gridCol w:w="109"/>
        <w:gridCol w:w="109"/>
        <w:gridCol w:w="109"/>
        <w:gridCol w:w="211"/>
        <w:gridCol w:w="361"/>
        <w:gridCol w:w="109"/>
        <w:gridCol w:w="109"/>
        <w:gridCol w:w="109"/>
        <w:gridCol w:w="109"/>
        <w:gridCol w:w="211"/>
        <w:gridCol w:w="36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contingency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due to vendors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other employee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and franchise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due to vendors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liabilities due to related parties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11.SHAREHOLDERS’ EQUITY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Company’s certificate of incorporation, the Company is authorized to issue 3,000,000,000 shares of common stock with a par value of $0.0001 per share.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Company’s certificate of incorporation, the Company is authorized to issue 100,000,000 shares of preferred stock having a par value of $0.0001 per share (“Opendoor Technologies Preferred Stock”). The Company’s board of directors has the authority to issue Opendoor Technologies Preferred Stock and to determine the rights, preferences, privileges and restrictions, including voting rights, of those shares. As of December 31, 2025, there were no shares of Opendoor Technologies Preferred Stock 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Dividend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 entitled to dividends when and if declared by the Company’s board of directors, subject to the rights of all classes of stock outstanding having priority rights to dividends. The Company has not paid any cash dividends on common stock to date. The Company may retain future earnings, if any, for the further development and expansion of its business and has no current plans to pay cash dividends for the foreseeable future. Any future determination to pay dividends will be made at the discretion of the Company’s board of directors and will depend on, among other things, the Company’s financial condition, results of operations, capital requirements, restrictions contained in future agreements and financing instruments, business prospects and such other factors as the Company’s board of directors may deem relevant.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Warrant Dividends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6, 2025, the Company declared a special dividend in the form of warrants to the holders of record of our common stock (the “Warrants”), as of the close of business on November 18, 2025 (the “Record Date”). Pursuant to the terms of the warrant agreement, dated November 21, 2025, (the “2025 Warrant Agreement”), each holder of record of common stock on the Record Date received a series of three Warrants - Series K (OPENW), Series A (OPENL), and Series Z (OPENZ) - for every 30 shares of common stock held, rounded down to the nearest whole number. The Warrants are listed on the Nasdaq Stock Market LLC and commenced trading on November 24, 2025. At the time of issuance, each Warrant entitled the holder to purchase one share of common stock at exercise prices of $9.00 (Series K Warrant), $13.00 (Series A Warrant), and $17.00 (Series Z Warrant) per Warrant, subject to certain adjustments. The Warrants are initially exercisable only for cash; however, at the Company’s sole discretion, the exercise method may be changed to net exercise.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21, 2025, 99,295,146 Warrants were issued and distributed to the holders of record of common stock and 2030 Notes as of the Record Date. The Company estimated the fair value of the Warrants using a Monte Carlo simulation model using the following key inputs: (i) the Company’s closing stock price on the Record Date: $7.52; (ii) Exercise Price: $9.00, $13.00 and $17.00; (iii) simulation term: one year; (iv) risk-free rate: 3.64% (v) expected dividend yield 0.0%; and (vi) volatility: 149.2%.</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terms of 2025 Warrant Agreement, the Warrants will expire and cease to be exercisable at 5:00 p.m. New York City time on November 20, 2026 (the “Expiration Date”) subject to the Early Expiration Price Condition (defined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Early Expiration Price Condition and Date for the Warrants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the occurrence of the first 30 consecutive trading day period that includes 20 trading days on which the daily volume-weighted average price (“VWAP”) of a share of common stock is at least equal to 120% of the exercise price, subject to certain adjustments provided for in the 2025 Warrant Agreement (such occurrence, the “Early Expiration Price Condition”, and the last of such 20 trading days, the “Early Expiration Price Condition Date”), the Expiration Date of the Warrants would automatically accelerate to the date (the “Early Expiration Date”) that is the business day immediately following the Early Expiration Price Condition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Warrants issued to Convertible Senior Notes’ holders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Under the terms of both the 2026 Notes and the 2030 Notes, the Company was required to either adjust the respective conversion ratio or issue Warrants to the holders of the notes. The conversion rate for the Company’s 2026 Notes was adjusted in accordance with the terms of the governing indenture for such notes. Refer to “</w:t>
      </w:r>
      <w:r>
        <w:rPr>
          <w:rFonts w:ascii="Times New Roman;serif" w:hAnsi="Times New Roman;serif"/>
          <w:b w:val="false"/>
          <w:i/>
          <w:color w:val="000000"/>
          <w:sz w:val="20"/>
        </w:rPr>
        <w:t>Note 5 - Credit Facilities, Long Term Debt, and Convertible Notes</w:t>
      </w:r>
      <w:r>
        <w:rPr>
          <w:color w:val="000000"/>
        </w:rPr>
        <w:t xml:space="preserve">” </w:t>
      </w:r>
      <w:r>
        <w:rPr>
          <w:rFonts w:ascii="Times New Roman;serif" w:hAnsi="Times New Roman;serif"/>
          <w:b w:val="false"/>
          <w:color w:val="000000"/>
          <w:sz w:val="20"/>
        </w:rPr>
        <w:t xml:space="preserve">for the impact on the 2026 Notes conversion rate. In lieu of an adjustment to the conversion rate, holders of the Company’s 2030 Notes received Warrants, at the same time and on the same terms as holders of common stock, without having to convert such holder’s 2030 Notes, as if such holder held a number of shares of common stock, equal to the product of (i) the conversion rate applicable to the 2030 Notes in effect on the Record Date and (ii) the aggregate principal amount (expressed in thousands) of 2030 Notes held by such holder on the Record Date. </w:t>
      </w:r>
    </w:p>
    <w:p>
      <w:pPr>
        <w:pStyle w:val="TextBody"/>
        <w:bidi w:val="0"/>
        <w:spacing w:before="24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12.SHARE-BASED AWARDS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2014 Stock Plan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2014 Stock Plan (the “2014 Plan”), as last amended and approved by the board of directors on February 6, 2020, allowed the Company to grant up to 106,320,623 shares of common stock to employees, directors, and non-employees pursuant to awards of stock options, restricted stock or restricted stock units (“RSUs”) granted under the 2014 Plan. Upon the Closing, the remaining unallocated share reserve under the 2014 Plan was cancelled and no new awards will be granted under the 2014 Plan. Awards outstanding under the 2014 Plan were assumed by Opendoor Technologies upon the Closing and continue to be governed by the terms of the 2014 Plan. As of December 31, 2025, the only awards remaining under the 2014 Plan are unexercised stock options.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2020 Equity Incentive Plans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close of the Business Combination, the Company adopted the 2020 Incentive Award Plan (the “2020 Plan”) under which 43,508,048 shares of common stock were initially reserved for issuance. The 2020 Plan allows for the issuance of stock options, stock appreciation rights, restricted stock, restricted stock units, dividend equivalents and other stock or cash based awards. The number of shares of the Company’s common stock available for issuance under the 2020 Plan automatically increases on the first day of each calendar year, beginning January 1, 2022 and ending on and including January 1, 2030, by the lesser of (a) a number equal to the excess (if any) of (1) 5% of the aggregate number of shares of common stock outstanding on the final day of the immediately preceding calendar year over (2) the number of shares of common stock then reserved for issuance under the 2020 Plan as of such date, and (b) such smaller number of shares determined by the Company’s board of directors. Pursuant to this automatic increase provision, as of December 31, 2025, 154,969,574 shares of common stock are reserved for issuance under the 2020 Plan.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close of the Business Combination, the Company’s board of directors approved the 2020 Employee Stock Purchase Plan (“ESPP”), which was last amended on February 8, 2023. There are 5,438,506 shares of common stock initially reserved for issuance under the ESPP. The number of shares of the Company’s common stock available for issuance under the ESPP automatically increases on the first day of each calendar year, beginning January 1, 2022 and ending on and including January 1, 2030, by the lesser of (a) 1% of the total number of shares of common stock outstanding on December 31 of the immediately preceding calendar year and (b) such number of shares as is determined by the Company’s board of directors; provided that, no more than 54,385,060 shares may be issued under the ESPP. Pursuant to this automatic increase provision, as of December 31, 2025, 31,949,241 shares of common stock are reserved for issuance under the ESPP. For the twelve months ended December 31, 2025 and December 31, 2024, shares issued under the ESPP were 1,591,514 at a weighted average price of $1.09 per share and 3,133,493 at a weighted average price of $1.59 per share, respectively.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2022 Inducement Plan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2022, the Company’s board of directors adopted the 2022 Inducement Plan (the “Inducement Plan”). Under the Inducement Plan, 31,200,000 shares were initially reserved for issuance. The purpose of the Inducement Plan is to attract, retain and motivate prospective employees of the Company, particularly executive team members and employees joining as part of business combinations. The Inducement Plan allows for the issuance of non-qualified stock options, stock appreciation rights, restricted stock, restricted stock units, dividend equivalents and other stock or cash based awards to new employees of the Company or any subsidiary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options and RSUs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stock option activity for the year ended December 31, 2025, is as follows:</w:t>
      </w:r>
    </w:p>
    <w:tbl>
      <w:tblPr>
        <w:tblW w:w="8028" w:type="dxa"/>
        <w:jc w:val="left"/>
        <w:tblInd w:w="0" w:type="dxa"/>
        <w:tblLayout w:type="fixed"/>
        <w:tblCellMar>
          <w:top w:w="28" w:type="dxa"/>
          <w:left w:w="28" w:type="dxa"/>
          <w:bottom w:w="28" w:type="dxa"/>
          <w:right w:w="28" w:type="dxa"/>
        </w:tblCellMar>
      </w:tblPr>
      <w:tblGrid>
        <w:gridCol w:w="1025"/>
        <w:gridCol w:w="902"/>
        <w:gridCol w:w="907"/>
        <w:gridCol w:w="374"/>
        <w:gridCol w:w="374"/>
        <w:gridCol w:w="376"/>
        <w:gridCol w:w="109"/>
        <w:gridCol w:w="109"/>
        <w:gridCol w:w="109"/>
        <w:gridCol w:w="217"/>
        <w:gridCol w:w="526"/>
        <w:gridCol w:w="112"/>
        <w:gridCol w:w="109"/>
        <w:gridCol w:w="109"/>
        <w:gridCol w:w="109"/>
        <w:gridCol w:w="409"/>
        <w:gridCol w:w="409"/>
        <w:gridCol w:w="411"/>
        <w:gridCol w:w="109"/>
        <w:gridCol w:w="109"/>
        <w:gridCol w:w="109"/>
        <w:gridCol w:w="292"/>
        <w:gridCol w:w="499"/>
        <w:gridCol w:w="21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 December 31, 2025</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Aggregate intrinsic value represents the difference between the exercise price of the options and the estimated fair value of the Company’s common stock. The total intrinsic value of options exercised for the years ended December 31, 2025, 2024, and 2023, was $14 million, $1 million, and $3 million, respectively.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RSU activity for the year ended December 31, 2025, is as follows:</w:t>
      </w:r>
    </w:p>
    <w:tbl>
      <w:tblPr>
        <w:tblW w:w="6525" w:type="dxa"/>
        <w:jc w:val="left"/>
        <w:tblInd w:w="0" w:type="dxa"/>
        <w:tblLayout w:type="fixed"/>
        <w:tblCellMar>
          <w:top w:w="28" w:type="dxa"/>
          <w:left w:w="28" w:type="dxa"/>
          <w:bottom w:w="28" w:type="dxa"/>
          <w:right w:w="28" w:type="dxa"/>
        </w:tblCellMar>
      </w:tblPr>
      <w:tblGrid>
        <w:gridCol w:w="1455"/>
        <w:gridCol w:w="1279"/>
        <w:gridCol w:w="1286"/>
        <w:gridCol w:w="398"/>
        <w:gridCol w:w="398"/>
        <w:gridCol w:w="376"/>
        <w:gridCol w:w="109"/>
        <w:gridCol w:w="109"/>
        <w:gridCol w:w="109"/>
        <w:gridCol w:w="242"/>
        <w:gridCol w:w="586"/>
        <w:gridCol w:w="178"/>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RSUs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Grant-Date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 December 31,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 December 31, 2025</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78" w:type="dxa"/>
            <w:tcBorders>
              <w:top w:val="single" w:sz="2" w:space="0" w:color="CCEE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RSUs vested for the years ended December 31, 2025, 2024 and 2023 was $91 million, $92 million, and $112 million, respectively.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market condition RSU activity for the year ended December 31, 2025, is as follows:</w:t>
      </w:r>
    </w:p>
    <w:tbl>
      <w:tblPr>
        <w:tblW w:w="6555" w:type="dxa"/>
        <w:jc w:val="left"/>
        <w:tblInd w:w="0" w:type="dxa"/>
        <w:tblLayout w:type="fixed"/>
        <w:tblCellMar>
          <w:top w:w="28" w:type="dxa"/>
          <w:left w:w="28" w:type="dxa"/>
          <w:bottom w:w="28" w:type="dxa"/>
          <w:right w:w="28" w:type="dxa"/>
        </w:tblCellMar>
      </w:tblPr>
      <w:tblGrid>
        <w:gridCol w:w="1455"/>
        <w:gridCol w:w="1279"/>
        <w:gridCol w:w="1286"/>
        <w:gridCol w:w="413"/>
        <w:gridCol w:w="413"/>
        <w:gridCol w:w="376"/>
        <w:gridCol w:w="109"/>
        <w:gridCol w:w="109"/>
        <w:gridCol w:w="109"/>
        <w:gridCol w:w="242"/>
        <w:gridCol w:w="586"/>
        <w:gridCol w:w="178"/>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RSUs</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Grant-Date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 December 31,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78" w:type="dxa"/>
            <w:tcBorders>
              <w:top w:val="single" w:sz="2" w:space="0" w:color="CCEE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market condition RSUs is estimated at the date of grant using a Monte Carlo simulation model. The following assumptions were applied in the model to estimate the grant date fair value of the awards.</w:t>
      </w:r>
    </w:p>
    <w:tbl>
      <w:tblPr>
        <w:tblW w:w="4110" w:type="dxa"/>
        <w:jc w:val="left"/>
        <w:tblInd w:w="0" w:type="dxa"/>
        <w:tblLayout w:type="fixed"/>
        <w:tblCellMar>
          <w:top w:w="28" w:type="dxa"/>
          <w:left w:w="28" w:type="dxa"/>
          <w:bottom w:w="28" w:type="dxa"/>
          <w:right w:w="28" w:type="dxa"/>
        </w:tblCellMar>
      </w:tblPr>
      <w:tblGrid>
        <w:gridCol w:w="604"/>
        <w:gridCol w:w="529"/>
        <w:gridCol w:w="532"/>
        <w:gridCol w:w="668"/>
        <w:gridCol w:w="1286"/>
        <w:gridCol w:w="491"/>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110.0% - 110.5%</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3.58% - 3.68%</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4.7 - 5</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ESPP</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Prior to March 2023, the Company limited the maximum number of shares to be purchased in an offering period to 1,000 shares per employee, and each offering period was six months in duration. Beginning in March 2023, the maximum number of shares to be purchased in an offering period was increased to 10,000 shares per employee, 5,000 per purchase period, and each offering period is 12 months in duration, with two 6-month purchase periods. The ESPP allows eligible employees to purchase shares of the Company’s common stock at a 15% discount on the lower price of either (i) the offer period start date or (ii) the purchase date. The ESPP also includes a reset provision for the purchase price if the stock price on the purchase date is less than the stock price on the offering date. ESPP employee payroll contributions withheld as of December 31, 2025 and 2024 were $1 million and $1 million, respectively, and are included within Accounts payable and other accrued liabilities in the consolidated balance sheets. Payroll contributions withheld as of December 31, 2025 will be used to purchase shares at the end of the current ESPP purchase period ending on February 27, 2026.</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ESPP purchase rights is estimated at the date of grant using the Black-Scholes-Merton option-pricing valuation model. The following assumptions were applied in the model to estimate the grant-date fair value of the ESPP.</w:t>
      </w:r>
    </w:p>
    <w:tbl>
      <w:tblPr>
        <w:tblW w:w="9349" w:type="dxa"/>
        <w:jc w:val="left"/>
        <w:tblInd w:w="0" w:type="dxa"/>
        <w:tblLayout w:type="fixed"/>
        <w:tblCellMar>
          <w:top w:w="28" w:type="dxa"/>
          <w:left w:w="28" w:type="dxa"/>
          <w:bottom w:w="28" w:type="dxa"/>
          <w:right w:w="28" w:type="dxa"/>
        </w:tblCellMar>
      </w:tblPr>
      <w:tblGrid>
        <w:gridCol w:w="724"/>
        <w:gridCol w:w="632"/>
        <w:gridCol w:w="639"/>
        <w:gridCol w:w="697"/>
        <w:gridCol w:w="1340"/>
        <w:gridCol w:w="363"/>
        <w:gridCol w:w="697"/>
        <w:gridCol w:w="1340"/>
        <w:gridCol w:w="363"/>
        <w:gridCol w:w="697"/>
        <w:gridCol w:w="1340"/>
        <w:gridCol w:w="363"/>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$0.46 - $3.16</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$0.83 - $1.56</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$0.64 - $2.13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104.4% - 157.0%</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88.7% - 121.1%</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101.8% - 119.1%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3.82% - 4.31%</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4.35% - 5.27%</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5.06% - 5.47%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0.5 - 1 </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0.5 - 1 </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related to the ESPP of $1 million, $3 million, and $2 million during the years ended December 31, 2025, 2024, and 2023 respectively. As of December 31, 2025, total estimated unrecognized compensation expense related to the ESPP was $1 million. The unamortized compensation costs are expected to be recognized over the remaining term of the offering period of 0.4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allocated based on the cost center to which the award holder belongs. The following table summarizes total stock-based compensation expense by function as presented in the consolidated statements of operations for the years ended December 31, 2025, 2024 and 2023, as follows (in millions):</w:t>
      </w:r>
    </w:p>
    <w:tbl>
      <w:tblPr>
        <w:tblW w:w="6506" w:type="dxa"/>
        <w:jc w:val="left"/>
        <w:tblInd w:w="0" w:type="dxa"/>
        <w:tblLayout w:type="fixed"/>
        <w:tblCellMar>
          <w:top w:w="28" w:type="dxa"/>
          <w:left w:w="28" w:type="dxa"/>
          <w:bottom w:w="28" w:type="dxa"/>
          <w:right w:w="28" w:type="dxa"/>
        </w:tblCellMar>
      </w:tblPr>
      <w:tblGrid>
        <w:gridCol w:w="1251"/>
        <w:gridCol w:w="1097"/>
        <w:gridCol w:w="1101"/>
        <w:gridCol w:w="211"/>
        <w:gridCol w:w="466"/>
        <w:gridCol w:w="109"/>
        <w:gridCol w:w="109"/>
        <w:gridCol w:w="109"/>
        <w:gridCol w:w="109"/>
        <w:gridCol w:w="211"/>
        <w:gridCol w:w="466"/>
        <w:gridCol w:w="109"/>
        <w:gridCol w:w="109"/>
        <w:gridCol w:w="109"/>
        <w:gridCol w:w="109"/>
        <w:gridCol w:w="211"/>
        <w:gridCol w:w="46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200" w:after="283"/>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market condition awards, the Company recognized $103 million, $— million, $(4) million of compensation expense during the years ended December 31, 2025, 2024, and 2023 respectively. During the years ended December 31, 2025, 2024 and 2023 no market conditions were satisfied. The grant-date fair value for the market condition awards granted during the year ended December 31, 2025 was $848 million and is being recognized over a requisite service period ranging from one year to five years. As of December 31, 2025, there was $745 million of unamortized stock-based compensation costs related to unvested market condition RSUs. The unamortized compensation costs are expected to be recognized over a weighted-average period of approximately 2.6 years.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$97 million of unamortized stock-based compensation costs related to unvested RSUs. The unamortized compensation costs are expected to be recognized over a weighted-average period of approximately 2.0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13.WARRANTS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Marketing Warrants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Each Tranche will have an exercise price per share equal to the 30-day trailing VWAP of Opendoor common stock prior to the vesting date of that Tranche, subject to a $15 floor and $30 cap per share. After a Tranche has vested, the Tranche can be exercised via a cash payment or a cashless exercise; provided that the Company has the option to cash settle any exercise. The warrant expires in July 2027, subject to extension for an additional Tranche and early termination under limited circumstances. Zillow began providing marketing services under the partnership arrangement in March 2023. As of December 31, 2025, one Tranche of 300,000 shares of common stock underlying the warrant has vested, and none have been exercised.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Warrant Dividends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On November 6, 2025, the Company’s board of directors declared a distribution of Warrants to purchase shares of the Company’s common stock. See </w:t>
      </w:r>
      <w:r>
        <w:rPr>
          <w:color w:val="000000"/>
        </w:rPr>
        <w:t>“</w:t>
      </w:r>
      <w:r>
        <w:rPr>
          <w:rFonts w:ascii="Times New Roman;serif" w:hAnsi="Times New Roman;serif"/>
          <w:b w:val="false"/>
          <w:i/>
          <w:color w:val="000000"/>
          <w:sz w:val="20"/>
        </w:rPr>
        <w:t>Note 11 — Shareholders’ Equity”</w:t>
      </w:r>
      <w:r>
        <w:rPr>
          <w:color w:val="000000"/>
        </w:rPr>
        <w:t xml:space="preserve"> </w:t>
      </w:r>
      <w:r>
        <w:rPr>
          <w:rFonts w:ascii="Times New Roman;serif" w:hAnsi="Times New Roman;serif"/>
          <w:b w:val="false"/>
          <w:color w:val="000000"/>
          <w:sz w:val="20"/>
        </w:rPr>
        <w:t>for additional information regarding the Warrant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14.INCOME TAXES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components of loss before income taxes as follows (in millions):</w:t>
      </w:r>
    </w:p>
    <w:tbl>
      <w:tblPr>
        <w:tblW w:w="5651" w:type="dxa"/>
        <w:jc w:val="left"/>
        <w:tblInd w:w="0" w:type="dxa"/>
        <w:tblLayout w:type="fixed"/>
        <w:tblCellMar>
          <w:top w:w="28" w:type="dxa"/>
          <w:left w:w="28" w:type="dxa"/>
          <w:bottom w:w="28" w:type="dxa"/>
          <w:right w:w="28" w:type="dxa"/>
        </w:tblCellMar>
      </w:tblPr>
      <w:tblGrid>
        <w:gridCol w:w="804"/>
        <w:gridCol w:w="706"/>
        <w:gridCol w:w="709"/>
        <w:gridCol w:w="211"/>
        <w:gridCol w:w="691"/>
        <w:gridCol w:w="109"/>
        <w:gridCol w:w="109"/>
        <w:gridCol w:w="109"/>
        <w:gridCol w:w="109"/>
        <w:gridCol w:w="211"/>
        <w:gridCol w:w="541"/>
        <w:gridCol w:w="109"/>
        <w:gridCol w:w="109"/>
        <w:gridCol w:w="109"/>
        <w:gridCol w:w="109"/>
        <w:gridCol w:w="211"/>
        <w:gridCol w:w="5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Company’s provision for income taxes for the periods presented (in millions):</w:t>
      </w:r>
    </w:p>
    <w:tbl>
      <w:tblPr>
        <w:tblW w:w="5696" w:type="dxa"/>
        <w:jc w:val="left"/>
        <w:tblInd w:w="0" w:type="dxa"/>
        <w:tblLayout w:type="fixed"/>
        <w:tblCellMar>
          <w:top w:w="28" w:type="dxa"/>
          <w:left w:w="28" w:type="dxa"/>
          <w:bottom w:w="28" w:type="dxa"/>
          <w:right w:w="28" w:type="dxa"/>
        </w:tblCellMar>
      </w:tblPr>
      <w:tblGrid>
        <w:gridCol w:w="1022"/>
        <w:gridCol w:w="895"/>
        <w:gridCol w:w="902"/>
        <w:gridCol w:w="211"/>
        <w:gridCol w:w="406"/>
        <w:gridCol w:w="109"/>
        <w:gridCol w:w="109"/>
        <w:gridCol w:w="109"/>
        <w:gridCol w:w="109"/>
        <w:gridCol w:w="211"/>
        <w:gridCol w:w="406"/>
        <w:gridCol w:w="109"/>
        <w:gridCol w:w="109"/>
        <w:gridCol w:w="109"/>
        <w:gridCol w:w="109"/>
        <w:gridCol w:w="211"/>
        <w:gridCol w:w="406"/>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did not record any deferred federal and state income tax expense or benefit due to the full valuation allowance. Additionally, the Company’s foreign deferred expense or benefit was immaterial.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Effective Tax Rate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the provision for income taxes to the amount computed by applying the 21% statutory U.S. federal income tax rate to income before income taxes after the adoption of ASU 2023-09 is as follows (in millions):</w:t>
      </w:r>
    </w:p>
    <w:tbl>
      <w:tblPr>
        <w:tblW w:w="6476" w:type="dxa"/>
        <w:jc w:val="left"/>
        <w:tblInd w:w="0" w:type="dxa"/>
        <w:tblLayout w:type="fixed"/>
        <w:tblCellMar>
          <w:top w:w="28" w:type="dxa"/>
          <w:left w:w="28" w:type="dxa"/>
          <w:bottom w:w="28" w:type="dxa"/>
          <w:right w:w="28" w:type="dxa"/>
        </w:tblCellMar>
      </w:tblPr>
      <w:tblGrid>
        <w:gridCol w:w="1485"/>
        <w:gridCol w:w="1310"/>
        <w:gridCol w:w="1315"/>
        <w:gridCol w:w="250"/>
        <w:gridCol w:w="641"/>
        <w:gridCol w:w="129"/>
        <w:gridCol w:w="129"/>
        <w:gridCol w:w="129"/>
        <w:gridCol w:w="129"/>
        <w:gridCol w:w="291"/>
        <w:gridCol w:w="294"/>
        <w:gridCol w:w="374"/>
      </w:tblGrid>
      <w:tr>
        <w:trPr/>
        <w:tc>
          <w:tcPr>
            <w:tcW w:w="148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 S. Federal tax benefit at statutory rate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limitation on executive compensation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 reconciliation of the provision for income taxes to the amount computed by applying the 21% statutory U.S. federal income tax rate to income before taxes prior to the adoption of ASU 2023-09 is as follows:</w:t>
      </w:r>
    </w:p>
    <w:tbl>
      <w:tblPr>
        <w:tblW w:w="6904" w:type="dxa"/>
        <w:jc w:val="left"/>
        <w:tblInd w:w="0" w:type="dxa"/>
        <w:tblLayout w:type="fixed"/>
        <w:tblCellMar>
          <w:top w:w="28" w:type="dxa"/>
          <w:left w:w="28" w:type="dxa"/>
          <w:bottom w:w="28" w:type="dxa"/>
          <w:right w:w="28" w:type="dxa"/>
        </w:tblCellMar>
      </w:tblPr>
      <w:tblGrid>
        <w:gridCol w:w="1485"/>
        <w:gridCol w:w="1310"/>
        <w:gridCol w:w="1315"/>
        <w:gridCol w:w="109"/>
        <w:gridCol w:w="109"/>
        <w:gridCol w:w="291"/>
        <w:gridCol w:w="294"/>
        <w:gridCol w:w="435"/>
        <w:gridCol w:w="157"/>
        <w:gridCol w:w="157"/>
        <w:gridCol w:w="157"/>
        <w:gridCol w:w="291"/>
        <w:gridCol w:w="294"/>
        <w:gridCol w:w="500"/>
      </w:tblGrid>
      <w:tr>
        <w:trPr/>
        <w:tc>
          <w:tcPr>
            <w:tcW w:w="148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 S. Federal tax benefit at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limitation on executive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deconsolidation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Company’s effective tax rate differs from the amount computed by applying the U.S. federal statutory and state income tax rates to net loss before income tax, primarily as the result of loss on debt extinguishment, stock-based compensation, and changes in the Company’s valuation allowance. For the years ended December 31, 2024 and 2023, the Company’s effective tax rate differs from the amount computed by applying the U.S. federal statutory and state income tax rates to net loss before income tax, primarily as the result of state income taxes, stock-based compensation, and changes in the Company’s valuation allowance.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2021, the Organization for Economic Co-operation and Development Inclusive Framework on Base Erosion Profit Shifting released Model Global Anti-Base Erosion rules (“Model Rules”) under Pillar Two. The Model Rules set forth the “common approach” for a Global Minimum Tax at 15 percent for multinational enterprises with a turnover of more than 750 million Euros. Certain aspects of Pillar Two were effective January 1, 2024 and other aspects were effective January 1, 2025. Various countries have adopted legislation and other countries are in the process of introducing legislation to implement Pillar Two. Pillar Two did not have a material impact on the Company’s consolidated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Deferred Taxes</w:t>
      </w:r>
    </w:p>
    <w:p>
      <w:pPr>
        <w:pStyle w:val="TextBody"/>
        <w:bidi w:val="0"/>
        <w:spacing w:lineRule="auto" w:line="288" w:before="24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effects of temporary differences between the carrying amounts of assets and liabilities for financial reporting purposes and the amounts used for income taxes purposes. Significant components of the Company’s deferred tax assets and liabilities as of December 31, 2025 and 2024, are as follows (in millions):</w:t>
      </w:r>
    </w:p>
    <w:tbl>
      <w:tblPr>
        <w:tblW w:w="7240" w:type="dxa"/>
        <w:jc w:val="left"/>
        <w:tblInd w:w="0" w:type="dxa"/>
        <w:tblLayout w:type="fixed"/>
        <w:tblCellMar>
          <w:top w:w="28" w:type="dxa"/>
          <w:left w:w="28" w:type="dxa"/>
          <w:bottom w:w="28" w:type="dxa"/>
          <w:right w:w="28" w:type="dxa"/>
        </w:tblCellMar>
      </w:tblPr>
      <w:tblGrid>
        <w:gridCol w:w="1404"/>
        <w:gridCol w:w="1230"/>
        <w:gridCol w:w="1235"/>
        <w:gridCol w:w="436"/>
        <w:gridCol w:w="837"/>
        <w:gridCol w:w="227"/>
        <w:gridCol w:w="109"/>
        <w:gridCol w:w="109"/>
        <w:gridCol w:w="109"/>
        <w:gridCol w:w="422"/>
        <w:gridCol w:w="812"/>
        <w:gridCol w:w="310"/>
      </w:tblGrid>
      <w:tr>
        <w:trP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capitalization</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and liabilities</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Due to the losses the Company generated in the current and prior years, the Company believes it is not more likely than not that all of the deferred tax assets can be realized for its U.S. federal and state deferred tax assets. Accordingly, the Company established and recorded a full valuation allowance on its net deferred tax assets of $868 million as of December 31, 2025 and a full valuation allowance on its net deferred tax assets of $795 million as of December 31, 2024. The valuation allowance increased by $73 million and $77 million for 2025 and 2024, respectively primarily as a result of current year losses.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U.S. federal and state net operating loss (“NOL”) carryforwards of $3.0 billion and $2.4 billion, respectively, which will each begin to expire in 2034 if not utilized. For NOLs arising after December 31, 2017, the Tax Cuts and Jobs Act of 2017 limits a taxpayer’s ability to utilize NOL carryforwards to 80% of taxable income and can be carried forward indefinitely (carryback is generally prohibited). In the Company’s case, as of December 31, 2025, $2.9 billion of US. federal NOLs and $803 million of state NOLs have an unlimited carryover period. NOLs generated in tax years beginning before January 1, 2018 will not be subject to the taxable income limitation and will continue to have a two-year carryback and twenty-year carryforward period. Additionally, as of December 31, 2025, the Company had U.S. federal research tax credit carryforwards of $45 million that begin to expire in 2035. The Company also had state research tax credit carryforwards of $31 million with an indefinite carryforward period.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Section 382 of the Internal Revenue Code (the “Code”) limits the use of net operating losses and tax credit carryforwards in certain situations where changes occur in the stock ownership of a company. Utilization of the net operating loss carryforwards are subject to various limitations due to the ownership change limitations provided by Internal Revenue Code (IRC) Section 382 and similar state provisions. The Company performed an ownership analysis and identified three previous ownership changes in 2014, 2016 and 2020, as defined under Section 382 and 383 of the IRC, however none of the previous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ownership changes resulted in a material limitation that will reduce the total amount of net operating loss carryforwards and credits that can be utilized.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Company has evaluated the impact of the Act on its consolidated financial statements, including the effects on its deferred tax assets and liabilities and has not identified any material impact on its Annual Report on Form 10-K for the calendar year ended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adopted ASU 2023-09, Income Taxes (Topic 740): Improvements to Income Tax Disclosures, effective January 1, 2025. The amendments were applied prospectively and did not have a material impact on the Company’s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tabular reconciliation of the total amounts of unrecognized tax benefits (in millions):</w:t>
      </w:r>
    </w:p>
    <w:tbl>
      <w:tblPr>
        <w:tblW w:w="7541" w:type="dxa"/>
        <w:jc w:val="left"/>
        <w:tblInd w:w="0" w:type="dxa"/>
        <w:tblLayout w:type="fixed"/>
        <w:tblCellMar>
          <w:top w:w="28" w:type="dxa"/>
          <w:left w:w="28" w:type="dxa"/>
          <w:bottom w:w="28" w:type="dxa"/>
          <w:right w:w="28" w:type="dxa"/>
        </w:tblCellMar>
      </w:tblPr>
      <w:tblGrid>
        <w:gridCol w:w="1723"/>
        <w:gridCol w:w="1512"/>
        <w:gridCol w:w="1519"/>
        <w:gridCol w:w="211"/>
        <w:gridCol w:w="376"/>
        <w:gridCol w:w="109"/>
        <w:gridCol w:w="109"/>
        <w:gridCol w:w="109"/>
        <w:gridCol w:w="109"/>
        <w:gridCol w:w="211"/>
        <w:gridCol w:w="376"/>
        <w:gridCol w:w="109"/>
        <w:gridCol w:w="109"/>
        <w:gridCol w:w="109"/>
        <w:gridCol w:w="109"/>
        <w:gridCol w:w="211"/>
        <w:gridCol w:w="376"/>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current year tax provisions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tax benefits as of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the full valuation allowance at December 31, 2025, current adjustments to the unrecognized tax benefit will have no impact on the Company’s effective income tax rate. There would be an impact of $23 million to the effective tax rate if adjustments are made after the valuation allowance is released.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policy is to recognize interest and penalties associated with uncertain tax benefits as part of the income tax provision and include accrued interest and penalties with the related income tax liability on the Company’s consolidated balance sheets. To date, the Company has not recognized nor accrued for any material interest and penalties in its consolidated statements of operations. The Company is subject to federal and state income taxes in the United States, and foreign income taxes in Canada and India. Due to the history of net operating losses, the Company is subject to U.S. federal, state and local examinations by tax authorities for all years since incorporation. As of December 31, 2025, the Company is not currently under any audits that would materially change the unrecognized tax benefits recorded.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not provided U.S. income or foreign withholding taxes on the undistributed earnings of its foreign subsidiaries as of December 31, 2025, because it intends to permanently reinvest such earnings outside of the U.S. If these foreign earnings were to be repatriated in the future, the related U.S. tax liability will be immaterial, due to the participation exemption put in place under the Tax Cuts and Jobs Act of 2017.</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amount of cash income taxes paid by the Company during the year ended December 31,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15.NET LOSS PER SHARE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including preferred dividends, were declared, paid, or accumulated for the years ended December 31, 2025, 2024, or 2023.</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two-class method to calculate net loss per share and applies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loss per share attributable to common shareholders for the years ended December 31, 2025, 2024, and 2023 (in millions, except share amounts which are presented in thousands, and per share amounts):</w:t>
      </w:r>
    </w:p>
    <w:tbl>
      <w:tblPr>
        <w:tblW w:w="8320" w:type="dxa"/>
        <w:jc w:val="left"/>
        <w:tblInd w:w="0" w:type="dxa"/>
        <w:tblLayout w:type="fixed"/>
        <w:tblCellMar>
          <w:top w:w="28" w:type="dxa"/>
          <w:left w:w="28" w:type="dxa"/>
          <w:bottom w:w="28" w:type="dxa"/>
          <w:right w:w="28" w:type="dxa"/>
        </w:tblCellMar>
      </w:tblPr>
      <w:tblGrid>
        <w:gridCol w:w="1712"/>
        <w:gridCol w:w="1511"/>
        <w:gridCol w:w="1517"/>
        <w:gridCol w:w="211"/>
        <w:gridCol w:w="691"/>
        <w:gridCol w:w="109"/>
        <w:gridCol w:w="109"/>
        <w:gridCol w:w="109"/>
        <w:gridCol w:w="109"/>
        <w:gridCol w:w="236"/>
        <w:gridCol w:w="590"/>
        <w:gridCol w:w="109"/>
        <w:gridCol w:w="109"/>
        <w:gridCol w:w="109"/>
        <w:gridCol w:w="109"/>
        <w:gridCol w:w="236"/>
        <w:gridCol w:w="590"/>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loss per share: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preferred dividends declared or accumulated for the period.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tbl>
      <w:tblPr>
        <w:tblW w:w="6209" w:type="dxa"/>
        <w:jc w:val="left"/>
        <w:tblInd w:w="0" w:type="dxa"/>
        <w:tblLayout w:type="fixed"/>
        <w:tblCellMar>
          <w:top w:w="28" w:type="dxa"/>
          <w:left w:w="28" w:type="dxa"/>
          <w:bottom w:w="28" w:type="dxa"/>
          <w:right w:w="28" w:type="dxa"/>
        </w:tblCellMar>
      </w:tblPr>
      <w:tblGrid>
        <w:gridCol w:w="951"/>
        <w:gridCol w:w="834"/>
        <w:gridCol w:w="839"/>
        <w:gridCol w:w="413"/>
        <w:gridCol w:w="413"/>
        <w:gridCol w:w="156"/>
        <w:gridCol w:w="132"/>
        <w:gridCol w:w="132"/>
        <w:gridCol w:w="132"/>
        <w:gridCol w:w="360"/>
        <w:gridCol w:w="361"/>
        <w:gridCol w:w="156"/>
        <w:gridCol w:w="132"/>
        <w:gridCol w:w="132"/>
        <w:gridCol w:w="132"/>
        <w:gridCol w:w="360"/>
        <w:gridCol w:w="361"/>
        <w:gridCol w:w="213"/>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 condition RSUs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16.DECONSOLIDATION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2024, a consolidated subsidiary of the Company, Mainstay Labs Inc. (“Mainstay”), formerly Open Exchange Labs Inc., issued its Series A Preferred Stock to third-party investors (the “Private Investment”). Mainstay is a market intelligence and transaction platform for the single-family rental industry. As a result of the Private Investment, the Company no longer had a controlling financial interest in Mainstay in accordance with ASC Topic 810, Consolidation, and Mainstay was deconsolidated from the Company’s consolidated financial statements as of July 31, 2024 (the “Deconsolidation”).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Deconsolidation does not meet the criteria requiring presentation as discontinued operations in accordance with U.S. GAAP because it does not represent a strategic shift that will have a major effect on the Company’s operations or financial results.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Deconsolidation, the Company recognized a $14 million gain in Other income – net in the consolidated statement of operations for the year ended December 31, 2024, which represented the fair value of the Company’s retained interest in Mainstay less the carrying value of Mainstay’s net assets and the Company’s liabilities due to Mainstay as of July 31, 2024. The Company’s retained interest in Mainstay as of July 31, 2024 of $39 million was recognized as a non-marketable equity security investment under ASC 321, Investment – Equity Securities. The investment is measured at fair value on a non-recurring basis, with the fair value initially determined as of the transaction date. There have been no indicators of impairment or other observable price changes since that date. The fair value on the transaction date was calculated using the option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pPr>
      <w:r>
        <w:rPr>
          <w:rFonts w:ascii="Times New Roman;serif" w:hAnsi="Times New Roman;serif"/>
          <w:b w:val="false"/>
          <w:color w:val="000000"/>
          <w:sz w:val="20"/>
        </w:rPr>
        <w:t xml:space="preserve">method utilizing a back-solve methodology to infer the total equity value based on the pricing of the Private Investment. See </w:t>
      </w:r>
      <w:r>
        <w:rPr>
          <w:color w:val="000000"/>
        </w:rPr>
        <w:t>“</w:t>
      </w:r>
      <w:r>
        <w:rPr>
          <w:rFonts w:ascii="Times New Roman;serif" w:hAnsi="Times New Roman;serif"/>
          <w:b w:val="false"/>
          <w:i/>
          <w:color w:val="000000"/>
          <w:sz w:val="20"/>
        </w:rPr>
        <w:t>Note 1. Description of Business and Accounting Policies – Investments.”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See “</w:t>
      </w:r>
      <w:r>
        <w:rPr>
          <w:rFonts w:ascii="Times New Roman;serif" w:hAnsi="Times New Roman;serif"/>
          <w:b w:val="false"/>
          <w:i/>
          <w:color w:val="000000"/>
          <w:sz w:val="20"/>
        </w:rPr>
        <w:t>Note 17 — Related Parties</w:t>
      </w:r>
      <w:r>
        <w:rPr>
          <w:color w:val="000000"/>
        </w:rPr>
        <w:t xml:space="preserve">” </w:t>
      </w:r>
      <w:r>
        <w:rPr>
          <w:rFonts w:ascii="Times New Roman;serif" w:hAnsi="Times New Roman;serif"/>
          <w:b w:val="false"/>
          <w:color w:val="000000"/>
          <w:sz w:val="20"/>
        </w:rPr>
        <w:t>for further information on the Company’s ongoing relationship and transactions with Mainstay.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pPr>
      <w:r>
        <w:rPr>
          <w:rFonts w:ascii="Times New Roman;serif" w:hAnsi="Times New Roman;serif"/>
          <w:b/>
          <w:color w:val="000000"/>
          <w:sz w:val="20"/>
        </w:rPr>
        <w:t>17.RELATED PARTIES</w:t>
      </w:r>
      <w:r>
        <w:rPr>
          <w:color w:val="EE2724"/>
        </w:rPr>
        <w:t xml:space="preserv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10, 2025, the board of directors appointed Keith Rabois, Managing Director at Khosla Ventures and the Company’s co-founder as a Class I director of the Company and Eric Wu, the Company’s co-founder and former Chief Executive Officer and Chairman of the Board, as a Class III director of the Company, effective immediately. Concurrently with the election of directors, the Company entered into stock purchase agreements with Khosla Ventures Opportunity III, LP, Eric Wu, and a certain other purchaser. Pursuant to the terms of these respective purchase agreements, Khosla Ventures Opportunity III, LP purchased 5,263,158 shares of the Company’s common stock for an aggregate investment of $35 million in a PIPE offering, Eric Wu agreed to purchase 751,879 shares of common stock for an aggregate investment of $5 million in a PIPE offering, and a certain other purchaser agreed to purchase 150,375 shares of common stock for an aggregate investment of $1 million in a PIPE offering.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PIPE offerings, the Company issued an aggregate of 6,165,412 shares of common stock for aggregate gross cash proceeds of approximately $41 million. The shares were issued in a private placement under Section 4(a)(2) of the Securities Act of 1933, as amended, and Regulation D thereunder, and were not registered under the Securities Act of 1933.</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retained interest in Mainstay was $48 million, which is presented in Other assets in the consolidated balance sheets. As of December 31, 2025, there have been no indicators of impairment or other observable price changes. As a result of the Company’s continued investment in Mainstay, transactions between the Company and Mainstay subsequent to the Deconsolidation are considered to be related-party transactions. Prior to the Deconsolidation, transactions between Mainstay and Opendoor were eliminated upon consolidation.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Deconsolidation, the Company entered into a contractual agreement to provide Mainstay with certain transition administrative services for a limited period of time (“Transition Services”) and to fulfill certain funding obligations to be paid in the form of Mainstay Series A Preferred Stock at the original Series A Preferred Stock issuance price. Transition Services provided for the years ended December 31, 2025 and 2024 were $2 million and immaterial, respectively. In September 2025, the Company received $9 million of Series A Preferred Stock as consideration for the Transition Services and related funding requirements. The Company continued to fund bonuses for certain Mainstay employees, other than Mainstay Management, through November 2025. Amounts paid during the year ended December 31, 2025 and 2024 were $6 million and immaterial, respectively. Additionally, Mainstay provides property tax compliance services (“Property Tax Services”) and brokerage services (“Brokerage Services”) to the Company in the normal course of business, which were less than $1 million for the years ended December 31, 2025 and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the Deconsolidation, the Company has no compensation arrangements with the management of Mainstay who are responsible for directing the activities that most significantly impact the economics of Mainstay (“Mainstay Management”). As of the Deconsolidation, outstanding Opendoor RSUs held by Mainstay employees, other than Mainstay Management, were modified so that the service-based vesting requirement will be satisfied as long as the Mainstay employee continues to provide services to Mainstay (“Post Deconsolidation RSUs”). For the years ended December 31, 2025 and 2024, subsequent to Deconsolidation, 771,383 and 932,163 shares of common stock were issued to Mainstay employees for the settlement of RSUs, net of shares withheld for participant taxes. As of December 31, 2025, 43,110 RSUs remained unvested and outstanding.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an agreement with Mainstay to create Mainstay National Title LLC, which provides title and escrow services to institutional customers. The Company has a 25% interest in and provides certain services to Mainstay National Title LLC. The initial investment is recognized as an equity method investment under ASC 323, Investments – Equity Method and Joint Ventures. As of December 31, 2025 the carrying value of the equity method investment was $1 million and is presented in Other assets on the consolidated balance sheets. During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revenue of $9 million presented within the consolidated statement of operations related to services provided to Mainstay National Title LLC.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18.SEGMENT INFORMATION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managed as a single operating and reportable segment on a consolidated basis, reflecting how the Company’s Chief Operating Decision Maker (“CODM”) allocates resources and evaluates the Company’s financial information. The operating segment is the Company’s residential real estate product and service offerings. The Company determined that the Chief Executive Officer is the CODM, given their responsibility for making resource allocation decisions, assessing performance, making strategic operational decisions and managing the organization at a consolidated level.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the Company is managed as a single operating and reportable segment, the measure of segment profit or loss is consolidated net loss. The CODM utilizes the financial information below in assessing the segment’s performance and allocating resources. The measure of segment assets is reported on the Company’s consolidated balance sheets as total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highlights the Company’s reportable segment’s expenses and net loss for the years ended December 31, 2025, 2024, and 2023 (in millions): </w:t>
      </w:r>
    </w:p>
    <w:tbl>
      <w:tblPr>
        <w:tblW w:w="8483" w:type="dxa"/>
        <w:jc w:val="left"/>
        <w:tblInd w:w="0" w:type="dxa"/>
        <w:tblLayout w:type="fixed"/>
        <w:tblCellMar>
          <w:top w:w="28" w:type="dxa"/>
          <w:left w:w="28" w:type="dxa"/>
          <w:bottom w:w="28" w:type="dxa"/>
          <w:right w:w="28" w:type="dxa"/>
        </w:tblCellMar>
      </w:tblPr>
      <w:tblGrid>
        <w:gridCol w:w="1653"/>
        <w:gridCol w:w="1458"/>
        <w:gridCol w:w="1463"/>
        <w:gridCol w:w="109"/>
        <w:gridCol w:w="109"/>
        <w:gridCol w:w="109"/>
        <w:gridCol w:w="211"/>
        <w:gridCol w:w="691"/>
        <w:gridCol w:w="109"/>
        <w:gridCol w:w="109"/>
        <w:gridCol w:w="109"/>
        <w:gridCol w:w="109"/>
        <w:gridCol w:w="211"/>
        <w:gridCol w:w="616"/>
        <w:gridCol w:w="109"/>
        <w:gridCol w:w="109"/>
        <w:gridCol w:w="109"/>
        <w:gridCol w:w="109"/>
        <w:gridCol w:w="211"/>
        <w:gridCol w:w="616"/>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selling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Advertising and other marketing expense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Operations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operating expense</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make-whole provision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and are included in Sales, marketing and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holding costs incurred both in the period presented and in prior periods on homes sold in the period presented (“Resale Cohort Holding Costs”). Holding costs include mainly property taxes, insurance, utilities, homeowners association dues, cleaning and maintenance costs. Holding costs are included in Sales, marketing and operations in the period in which they are incurred (“GAAP Holding Costs”).</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Advertising expenses are included in Sales, marketing and operations. Other marketing expenses include non-advertising marketing expenses such as acquisition leads and referrals and public relations services and are included in Sales, marketing and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Represents operating expenses that are generally related to the volume of homes transacted during the period and tend to be variable in nature. Primarily includes workforce expenses in support of sales, and real estate inventory operations. </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Represents operating expenses that are not directly correlated with home transaction volumes. These expenses generally include costs related to salaries and benefits for our leadership, finance, technology, human resources, legal, marketing and administrative personnel, as well as third-party professional services fees, rent expense and third-party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Other segment income (expenses) are primarily made up of (loss) gain on extinguishment of debt, depreciation and amortization, gain on deconsolidation, net,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pPr>
      <w:r>
        <w:rPr>
          <w:rFonts w:ascii="Times New Roman;serif" w:hAnsi="Times New Roman;serif"/>
          <w:b/>
          <w:color w:val="000000"/>
          <w:sz w:val="20"/>
        </w:rPr>
        <w:t>19.</w:t>
      </w:r>
      <w:r>
        <w:rPr>
          <w:color w:val="000000"/>
        </w:rPr>
        <w:t xml:space="preserve"> </w:t>
      </w:r>
      <w:r>
        <w:rPr>
          <w:rFonts w:ascii="Times New Roman;serif" w:hAnsi="Times New Roman;serif"/>
          <w:b/>
          <w:color w:val="000000"/>
          <w:sz w:val="20"/>
        </w:rPr>
        <w:t>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Company has entered into various non-cancelable operating lease agreements for certain of its office space. See </w:t>
      </w:r>
      <w:r>
        <w:rPr>
          <w:color w:val="000000"/>
        </w:rPr>
        <w:t>“</w:t>
      </w:r>
      <w:r>
        <w:rPr>
          <w:rFonts w:ascii="Times New Roman;serif" w:hAnsi="Times New Roman;serif"/>
          <w:b w:val="false"/>
          <w:i/>
          <w:color w:val="000000"/>
          <w:sz w:val="20"/>
        </w:rPr>
        <w:t>Note 8 — Leases”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240" w:after="283"/>
        <w:jc w:val="left"/>
        <w:rPr/>
      </w:pPr>
      <w:r>
        <w:rPr>
          <w:rFonts w:ascii="Times New Roman;serif" w:hAnsi="Times New Roman;serif"/>
          <w:b/>
          <w:i/>
          <w:color w:val="000000"/>
          <w:sz w:val="20"/>
        </w:rPr>
        <w:t>Legal Matters</w:t>
      </w:r>
      <w:r>
        <w:rPr>
          <w:color w:val="EE2724"/>
        </w:rPr>
        <w:t xml:space="preserv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potential liability relating to the ownership and operations of the Company’s properties. Accruals are recorded when the outcome is probable and can be reasonably estimated.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consolidated results of operations or financial condition except as noted below.</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On October 7, 2022 and November 22, 2022, purported securities class action lawsuits were filed in the United States District Court for the District of Arizona, captioned </w:t>
      </w:r>
      <w:r>
        <w:rPr>
          <w:rFonts w:ascii="Times New Roman;serif" w:hAnsi="Times New Roman;serif"/>
          <w:b w:val="false"/>
          <w:i/>
          <w:color w:val="000000"/>
          <w:sz w:val="20"/>
        </w:rPr>
        <w:t>Alich v. Opendoor Technologies Inc., et al.</w:t>
      </w:r>
      <w:r>
        <w:rPr>
          <w:color w:val="000000"/>
        </w:rPr>
        <w:t xml:space="preserve"> </w:t>
      </w:r>
      <w:r>
        <w:rPr>
          <w:rFonts w:ascii="Times New Roman;serif" w:hAnsi="Times New Roman;serif"/>
          <w:b w:val="false"/>
          <w:color w:val="000000"/>
          <w:sz w:val="20"/>
        </w:rPr>
        <w:t xml:space="preserve">(Case No. 2:22-cv-01717-JFM) (“Alich”) and </w:t>
      </w:r>
      <w:r>
        <w:rPr>
          <w:rFonts w:ascii="Times New Roman;serif" w:hAnsi="Times New Roman;serif"/>
          <w:b w:val="false"/>
          <w:i/>
          <w:color w:val="000000"/>
          <w:sz w:val="20"/>
        </w:rPr>
        <w:t xml:space="preserve">Oakland County Voluntary Employee’s Beneficiary Association, et al. v. Opendoor Technologies Inc., et al. </w:t>
      </w:r>
      <w:r>
        <w:rPr>
          <w:rFonts w:ascii="Times New Roman;serif" w:hAnsi="Times New Roman;serif"/>
          <w:b w:val="false"/>
          <w:color w:val="000000"/>
          <w:sz w:val="20"/>
        </w:rPr>
        <w:t xml:space="preserve">(Case No. 2:22-cv-01987-GMS) (“Oakland County”), respectively. The lawsuits were consolidated into a single action, captioned </w:t>
      </w:r>
      <w:r>
        <w:rPr>
          <w:rFonts w:ascii="Times New Roman;serif" w:hAnsi="Times New Roman;serif"/>
          <w:b w:val="false"/>
          <w:i/>
          <w:color w:val="000000"/>
          <w:sz w:val="20"/>
        </w:rPr>
        <w:t>In re Opendoor Technologies Inc. Securities Litigation</w:t>
      </w:r>
      <w:r>
        <w:rPr>
          <w:color w:val="000000"/>
        </w:rPr>
        <w:t xml:space="preserve"> </w:t>
      </w:r>
      <w:r>
        <w:rPr>
          <w:rFonts w:ascii="Times New Roman;serif" w:hAnsi="Times New Roman;serif"/>
          <w:b w:val="false"/>
          <w:color w:val="000000"/>
          <w:sz w:val="20"/>
        </w:rPr>
        <w:t xml:space="preserve">(Case No. 2:22-CV-01717-MTL). The consolidated amended complaint named as defendants the Company, SCH, certain of the Company’s current and former officers and directors and the underwriters of a securities offering the Company made in February 2021. The complaint alleged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alleged that certain defendants violated Section 20(a) of the Exchange Act and Section 15 of the Securities Act, respectively, which provide for control person liability. The complaint asserted claims on behalf of all persons and entities that purchased, or otherwise acquired, Company common stock between December 21, 2020 and November 3, 2022 or pursuant to offering documents issued in connection with our business combination with SCH and the secondary public offering conducted by the Company in February 2021. The defendants filed motions to dismiss on June 30, 2023, which the court granted on February 27, 2024 without prejudice. On May 14, 2024, the court granted plaintiffs’ motion for reconsideration of certain portions of the court’s order dismissing the complaint. The court’s orders on the motion to dismiss and motion for reconsideration dismissed all Exchange Act claims and Securities Act claims except for a portion of plaintiffs’ claims brought under Section 11 and Section 15 of the Securities Act. The plaintiffs and the defendant participated in a mediation in February 2025. On March 26, 2025, the Company reached an agreement in principle with the plaintiffs to resolve all claims against all defendants in the consolidated action on a class-wide basis for an amount within the limits of insurance coverage. The Company recorded a liability reflecting the proposed settlement amount and a corresponding asset reflecting estimated insurance recoveries. On June 13, 2025, the Company executed a Stipulation and Agreement of Settlement memorializing the terms and conditions of the settlement. The same day, the plaintiffs filed a motion with the court for preliminary approval of the settlement. On October 21, 2025, the court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approval motion and scheduled a final settlement approval hearing for January 6, 2026. On January 6, 2026, the Court issued an order providing final approval for the settlement and entered final judgment dismissing all claims with prejudice.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On March 1, 2023, and March 15, 2023, shareholder derivative lawsuits were filed in the United States District Court for the District of Arizona, captioned </w:t>
      </w:r>
      <w:r>
        <w:rPr>
          <w:rFonts w:ascii="Times New Roman;serif" w:hAnsi="Times New Roman;serif"/>
          <w:b w:val="false"/>
          <w:i/>
          <w:color w:val="000000"/>
          <w:sz w:val="20"/>
        </w:rPr>
        <w:t>Carlson v. Rice, et al.</w:t>
      </w:r>
      <w:r>
        <w:rPr>
          <w:color w:val="000000"/>
        </w:rPr>
        <w:t xml:space="preserve"> </w:t>
      </w:r>
      <w:r>
        <w:rPr>
          <w:rFonts w:ascii="Times New Roman;serif" w:hAnsi="Times New Roman;serif"/>
          <w:b w:val="false"/>
          <w:color w:val="000000"/>
          <w:sz w:val="20"/>
        </w:rPr>
        <w:t xml:space="preserve">(Case No. 2:23-cv-00367-GMS) and </w:t>
      </w:r>
      <w:r>
        <w:rPr>
          <w:rFonts w:ascii="Times New Roman;serif" w:hAnsi="Times New Roman;serif"/>
          <w:b w:val="false"/>
          <w:i/>
          <w:color w:val="000000"/>
          <w:sz w:val="20"/>
        </w:rPr>
        <w:t>Van Dorn v. Wu, et al.</w:t>
      </w:r>
      <w:r>
        <w:rPr>
          <w:color w:val="000000"/>
        </w:rPr>
        <w:t xml:space="preserve"> </w:t>
      </w:r>
      <w:r>
        <w:rPr>
          <w:rFonts w:ascii="Times New Roman;serif" w:hAnsi="Times New Roman;serif"/>
          <w:b w:val="false"/>
          <w:color w:val="000000"/>
          <w:sz w:val="20"/>
        </w:rPr>
        <w:t xml:space="preserve">(Case No. 2:23-cv-00455-DMF), respectively, which were subsequently consolidated into a single action, captioned </w:t>
      </w:r>
      <w:r>
        <w:rPr>
          <w:rFonts w:ascii="Times New Roman;serif" w:hAnsi="Times New Roman;serif"/>
          <w:b w:val="false"/>
          <w:i/>
          <w:color w:val="000000"/>
          <w:sz w:val="20"/>
        </w:rPr>
        <w:t>Carlson v. Rice</w:t>
      </w:r>
      <w:r>
        <w:rPr>
          <w:color w:val="000000"/>
        </w:rPr>
        <w:t xml:space="preserve"> </w:t>
      </w:r>
      <w:r>
        <w:rPr>
          <w:rFonts w:ascii="Times New Roman;serif" w:hAnsi="Times New Roman;serif"/>
          <w:b w:val="false"/>
          <w:color w:val="000000"/>
          <w:sz w:val="20"/>
        </w:rPr>
        <w:t xml:space="preserve">(Case No. 2:23-CV-00367-GMS). Plaintiffs voluntarily dismissed the matter on June 22, 2023, and thereafter re-filed complaints in the Court of Chancery of the State of Delaware, captioned </w:t>
      </w:r>
      <w:r>
        <w:rPr>
          <w:rFonts w:ascii="Times New Roman;serif" w:hAnsi="Times New Roman;serif"/>
          <w:b w:val="false"/>
          <w:i/>
          <w:color w:val="000000"/>
          <w:sz w:val="20"/>
        </w:rPr>
        <w:t xml:space="preserve">Carlson v. Rice, et al. </w:t>
      </w:r>
      <w:r>
        <w:rPr>
          <w:rFonts w:ascii="Times New Roman;serif" w:hAnsi="Times New Roman;serif"/>
          <w:b w:val="false"/>
          <w:color w:val="000000"/>
          <w:sz w:val="20"/>
        </w:rPr>
        <w:t xml:space="preserve">(Case No. 2023-0642) and </w:t>
      </w:r>
      <w:r>
        <w:rPr>
          <w:rFonts w:ascii="Times New Roman;serif" w:hAnsi="Times New Roman;serif"/>
          <w:b w:val="false"/>
          <w:i/>
          <w:color w:val="000000"/>
          <w:sz w:val="20"/>
        </w:rPr>
        <w:t>Van Dorn v. Rice, et al.</w:t>
      </w:r>
      <w:r>
        <w:rPr>
          <w:color w:val="000000"/>
        </w:rPr>
        <w:t xml:space="preserve"> </w:t>
      </w:r>
      <w:r>
        <w:rPr>
          <w:rFonts w:ascii="Times New Roman;serif" w:hAnsi="Times New Roman;serif"/>
          <w:b w:val="false"/>
          <w:color w:val="000000"/>
          <w:sz w:val="20"/>
        </w:rPr>
        <w:t xml:space="preserve">(Case No. 2023-0643). The cases were consolidated into a single action, captioned </w:t>
      </w:r>
      <w:r>
        <w:rPr>
          <w:rFonts w:ascii="Times New Roman;serif" w:hAnsi="Times New Roman;serif"/>
          <w:b w:val="false"/>
          <w:i/>
          <w:color w:val="000000"/>
          <w:sz w:val="20"/>
        </w:rPr>
        <w:t>Opendoor Technologies Inc. Stockholder Derivative Litigation</w:t>
      </w:r>
      <w:r>
        <w:rPr>
          <w:color w:val="000000"/>
        </w:rPr>
        <w:t xml:space="preserve"> </w:t>
      </w:r>
      <w:r>
        <w:rPr>
          <w:rFonts w:ascii="Times New Roman;serif" w:hAnsi="Times New Roman;serif"/>
          <w:b w:val="false"/>
          <w:color w:val="000000"/>
          <w:sz w:val="20"/>
        </w:rPr>
        <w:t xml:space="preserve">(Case No. 2023-0642). On June 29, 2023, a shareholder derivative lawsuit was filed in the United States District Court for the District of Delaware, captioned </w:t>
      </w:r>
      <w:r>
        <w:rPr>
          <w:rFonts w:ascii="Times New Roman;serif" w:hAnsi="Times New Roman;serif"/>
          <w:b w:val="false"/>
          <w:i/>
          <w:color w:val="000000"/>
          <w:sz w:val="20"/>
        </w:rPr>
        <w:t>Juul v. Wu, et al.</w:t>
      </w:r>
      <w:r>
        <w:rPr>
          <w:color w:val="000000"/>
        </w:rPr>
        <w:t xml:space="preserve"> </w:t>
      </w:r>
      <w:r>
        <w:rPr>
          <w:rFonts w:ascii="Times New Roman;serif" w:hAnsi="Times New Roman;serif"/>
          <w:b w:val="false"/>
          <w:color w:val="000000"/>
          <w:sz w:val="20"/>
        </w:rPr>
        <w:t xml:space="preserve">(Case No. 1:23-cv-00705-UNA). On October 13, 2023, a shareholder derivative lawsuit was filed in the United States District Court for the District of Delaware, captioned </w:t>
      </w:r>
      <w:r>
        <w:rPr>
          <w:rFonts w:ascii="Times New Roman;serif" w:hAnsi="Times New Roman;serif"/>
          <w:b w:val="false"/>
          <w:i/>
          <w:color w:val="000000"/>
          <w:sz w:val="20"/>
        </w:rPr>
        <w:t>Woods, et al. v. Bain, et al</w:t>
      </w:r>
      <w:r>
        <w:rPr>
          <w:rFonts w:ascii="Times New Roman;serif" w:hAnsi="Times New Roman;serif"/>
          <w:b w:val="false"/>
          <w:color w:val="000000"/>
          <w:sz w:val="20"/>
        </w:rPr>
        <w:t xml:space="preserve">. (Case No. 1:23-cv-01158-UNA). On October 18, 2023, a shareholder derivative lawsuit was filed in the United States District Court for the District of Arizona, captioned </w:t>
      </w:r>
      <w:r>
        <w:rPr>
          <w:rFonts w:ascii="Times New Roman;serif" w:hAnsi="Times New Roman;serif"/>
          <w:b w:val="false"/>
          <w:i/>
          <w:color w:val="000000"/>
          <w:sz w:val="20"/>
        </w:rPr>
        <w:t>Gera v. Palihapitiya, et al</w:t>
      </w:r>
      <w:r>
        <w:rPr>
          <w:rFonts w:ascii="Times New Roman;serif" w:hAnsi="Times New Roman;serif"/>
          <w:b w:val="false"/>
          <w:color w:val="000000"/>
          <w:sz w:val="20"/>
        </w:rPr>
        <w:t xml:space="preserve">. (Case No. 2:23-cv-02164-SMB). The complaints in each of the derivative actions that were filed were based on facts and circumstances related to </w:t>
      </w:r>
      <w:r>
        <w:rPr>
          <w:rFonts w:ascii="Times New Roman;serif" w:hAnsi="Times New Roman;serif"/>
          <w:b w:val="false"/>
          <w:i/>
          <w:color w:val="000000"/>
          <w:sz w:val="20"/>
        </w:rPr>
        <w:t>In re Opendoor Technologies Inc. Securities Litigation</w:t>
      </w:r>
      <w:r>
        <w:rPr>
          <w:rFonts w:ascii="Times New Roman;serif" w:hAnsi="Times New Roman;serif"/>
          <w:b w:val="false"/>
          <w:color w:val="000000"/>
          <w:sz w:val="20"/>
        </w:rPr>
        <w:t xml:space="preserve">. The plaintiffs brought claims against certain current and former directors and officers of the Company for breach of fiduciary duty and alleged violations of the Exchange Act, including Section 10(b) and Rule 10b-5 and Section 14(a) and Rule 14a-9. A global mediation of all of these shareholder derivative lawsuits was held on February 7, 2025. The parties agreed in principle that Opendoor would adopt certain corporate governance reforms as part of a potential global resolution of the shareholder derivative lawsuits and in exchange for a full release of claims. On June 27, 2025, the Company executed a Stipulation of Settlement memorializing the terms and conditions of the settlement. The same day, the plaintiff in the </w:t>
      </w:r>
      <w:r>
        <w:rPr>
          <w:rFonts w:ascii="Times New Roman;serif" w:hAnsi="Times New Roman;serif"/>
          <w:b w:val="false"/>
          <w:i/>
          <w:color w:val="000000"/>
          <w:sz w:val="20"/>
        </w:rPr>
        <w:t>Gera</w:t>
      </w:r>
      <w:r>
        <w:rPr>
          <w:color w:val="000000"/>
        </w:rPr>
        <w:t xml:space="preserve"> </w:t>
      </w:r>
      <w:r>
        <w:rPr>
          <w:rFonts w:ascii="Times New Roman;serif" w:hAnsi="Times New Roman;serif"/>
          <w:b w:val="false"/>
          <w:color w:val="000000"/>
          <w:sz w:val="20"/>
        </w:rPr>
        <w:t xml:space="preserve">action filed a motion with the court for preliminary approval of the settlement. The payment of any court-approved attorneys’ fees and costs was to be funded by proceeds from applicable insurance policies. The Company recorded a liability reflecting the proposed settlement amount and a corresponding asset reflecting estimated insurance recoveries. On September 11, 2025, the court issued an order granting preliminary approval of the settlement. On November 25, 2025, the Court issued an order providing final approval for the settlement and a release of all claims against all defendants, and entered final judgment dismissing all claims in the </w:t>
      </w:r>
      <w:r>
        <w:rPr>
          <w:rFonts w:ascii="Times New Roman;serif" w:hAnsi="Times New Roman;serif"/>
          <w:b w:val="false"/>
          <w:i/>
          <w:color w:val="000000"/>
          <w:sz w:val="20"/>
        </w:rPr>
        <w:t>Gera</w:t>
      </w:r>
      <w:r>
        <w:rPr>
          <w:color w:val="000000"/>
        </w:rPr>
        <w:t xml:space="preserve"> </w:t>
      </w:r>
      <w:r>
        <w:rPr>
          <w:rFonts w:ascii="Times New Roman;serif" w:hAnsi="Times New Roman;serif"/>
          <w:b w:val="false"/>
          <w:color w:val="000000"/>
          <w:sz w:val="20"/>
        </w:rPr>
        <w:t>action with prejudice. Stipulations of dismissal were subsequently filed in each of the other derivative actions pending in Delaware state and federal court.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20.RESTRUCTURING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costs for ongoing employee benefit arrangements, inclusive of statutory requirements, are recognized in accordance with ASC 712, Compensation - Non-retirement Post-employment Benefits when it becomes probable that an obligation has been incurred and the amount can be reasonably estimated. If applicable, the Company recognizes restructuring costs over the terminated employees’ remaining service period. The liabilities for restructuring costs are recognized in Accounts payable and other accrued liabilities on the consolidated balance sheets.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2023, the Company initiated workforce reductions, impacting approximately 680 employees. The Company provided post-employment benefits to impacted employees for a total expense of approximately $14 million. Payments related to this workforce reduction were substantially completed as of December 31, 2023.</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2024, the Company began a series of cost-reduction and organizational streamlining efforts (the “Transformation Initiatives”). On November 7, 2024, the Company announced a workforce reduction of approximately 300 employees as part of a reorganization aimed at prioritizing strategic growth and driving long-term efficiencies. The Company provided post-employment benefits to impacted employees for a total cash cost of approximately $10 million. In addition to the workforce reduction, during the year ended December 31, 2024, the Company incurred $3 million of costs related to the early termination of certain leases, and incurred $4 million in expenses associated with other activities related to the Company’s cost reduction efforts. Payments related to the Transformation Initiatives began in December 2024 and were substantially completed as of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Company incurred restructuring costs in connection with the Transformation Initiatives including workforce reductions affecting approximately 125 employees. These actions resulted in $6 million of expenses from post-employment benefits and other cost reduction efforts. In addition to the workforce reduction, the Company incurred $4 million of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related to the early termination of certain leases. Payments related to the Transformation Initiatives were substantially completed as of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of the restructuring liability (in millions):</w:t>
      </w:r>
    </w:p>
    <w:tbl>
      <w:tblPr>
        <w:tblW w:w="3539" w:type="dxa"/>
        <w:jc w:val="left"/>
        <w:tblInd w:w="0" w:type="dxa"/>
        <w:tblLayout w:type="fixed"/>
        <w:tblCellMar>
          <w:top w:w="28" w:type="dxa"/>
          <w:left w:w="28" w:type="dxa"/>
          <w:bottom w:w="28" w:type="dxa"/>
          <w:right w:w="28" w:type="dxa"/>
        </w:tblCellMar>
      </w:tblPr>
      <w:tblGrid>
        <w:gridCol w:w="978"/>
        <w:gridCol w:w="860"/>
        <w:gridCol w:w="862"/>
        <w:gridCol w:w="211"/>
        <w:gridCol w:w="256"/>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2023</w:t>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 charged to expense</w:t>
            </w:r>
            <w:r>
              <w:rPr>
                <w:rFonts w:ascii="Times New Roman;serif" w:hAnsi="Times New Roman;serif"/>
                <w:b w:val="false"/>
                <w:color w:val="000000"/>
                <w:sz w:val="13"/>
              </w:rPr>
              <w:t>(1)</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Inclusive of $1 million in non-cash activity associated with lease termination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21.SUBSEQUENT EVENTS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impact of events that have occurred subsequent to December 31, 2025, through the date the consolidated financial statements were filed with the SEC. Based on this evaluation, other than as recorded or disclosed within these consolidated financial statements and related notes, the Company has determined that there are no material subsequent events that would require recognition or disclosure.</w:t>
      </w:r>
    </w:p>
    <w:p>
      <w:pPr>
        <w:pStyle w:val="TextBody"/>
        <w:bidi w:val="0"/>
        <w:spacing w:lineRule="auto" w:line="288" w:before="240" w:after="283"/>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share data)</w:t>
      </w:r>
    </w:p>
    <w:tbl>
      <w:tblPr>
        <w:tblW w:w="10205" w:type="dxa"/>
        <w:jc w:val="center"/>
        <w:tblInd w:w="0" w:type="dxa"/>
        <w:tblLayout w:type="fixed"/>
        <w:tblCellMar>
          <w:top w:w="28" w:type="dxa"/>
          <w:left w:w="28" w:type="dxa"/>
          <w:bottom w:w="28" w:type="dxa"/>
          <w:right w:w="28" w:type="dxa"/>
        </w:tblCellMar>
      </w:tblPr>
      <w:tblGrid>
        <w:gridCol w:w="2846"/>
        <w:gridCol w:w="2478"/>
        <w:gridCol w:w="2308"/>
        <w:gridCol w:w="109"/>
        <w:gridCol w:w="109"/>
        <w:gridCol w:w="109"/>
        <w:gridCol w:w="211"/>
        <w:gridCol w:w="616"/>
        <w:gridCol w:w="109"/>
        <w:gridCol w:w="109"/>
        <w:gridCol w:w="109"/>
        <w:gridCol w:w="109"/>
        <w:gridCol w:w="211"/>
        <w:gridCol w:w="616"/>
        <w:gridCol w:w="156"/>
      </w:tblGrid>
      <w:tr>
        <w:trPr/>
        <w:tc>
          <w:tcPr>
            <w:tcW w:w="28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15"/>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3,000,000,000 shares authorized; 957,245,487 and 719,990,121 shares issued, respectively; 957,245,487 and 719,990,121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center"/>
        <w:rPr/>
      </w:pPr>
      <w:r>
        <w:rPr/>
      </w:r>
    </w:p>
    <w:tbl>
      <w:tblPr>
        <w:tblW w:w="6751" w:type="dxa"/>
        <w:jc w:val="center"/>
        <w:tblInd w:w="0" w:type="dxa"/>
        <w:tblLayout w:type="fixed"/>
        <w:tblCellMar>
          <w:top w:w="28" w:type="dxa"/>
          <w:left w:w="28" w:type="dxa"/>
          <w:bottom w:w="28" w:type="dxa"/>
          <w:right w:w="28" w:type="dxa"/>
        </w:tblCellMar>
      </w:tblPr>
      <w:tblGrid>
        <w:gridCol w:w="1162"/>
        <w:gridCol w:w="1022"/>
        <w:gridCol w:w="1026"/>
        <w:gridCol w:w="211"/>
        <w:gridCol w:w="691"/>
        <w:gridCol w:w="109"/>
        <w:gridCol w:w="109"/>
        <w:gridCol w:w="109"/>
        <w:gridCol w:w="109"/>
        <w:gridCol w:w="211"/>
        <w:gridCol w:w="541"/>
        <w:gridCol w:w="109"/>
        <w:gridCol w:w="109"/>
        <w:gridCol w:w="109"/>
        <w:gridCol w:w="109"/>
        <w:gridCol w:w="211"/>
        <w:gridCol w:w="541"/>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subsidiaries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2516"/>
        <w:gridCol w:w="2096"/>
        <w:gridCol w:w="2107"/>
        <w:gridCol w:w="211"/>
        <w:gridCol w:w="672"/>
        <w:gridCol w:w="109"/>
        <w:gridCol w:w="109"/>
        <w:gridCol w:w="109"/>
        <w:gridCol w:w="109"/>
        <w:gridCol w:w="211"/>
        <w:gridCol w:w="522"/>
        <w:gridCol w:w="109"/>
        <w:gridCol w:w="109"/>
        <w:gridCol w:w="109"/>
        <w:gridCol w:w="109"/>
        <w:gridCol w:w="211"/>
        <w:gridCol w:w="522"/>
        <w:gridCol w:w="109"/>
        <w:gridCol w:w="156"/>
      </w:tblGrid>
      <w:tr>
        <w:trPr/>
        <w:tc>
          <w:tcPr>
            <w:tcW w:w="251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cash, cash equivalents used in operating activities: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subsidiaries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net of accretion</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early extinguishment of debt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subsidiary</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subsidiary</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senior notes, net of discount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convertible senior notes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Capped Calls related to convertible senior notes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for ESPP</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PIPE offering</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under at-the-market offering, net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repurchase of convertible notes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loan origination fees and debt issuance costs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for early extinguishment of debt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activity</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year</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 – Cash paid during the period for interest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DISCLOSURES OF NONCASH FINANCING ACTIVITIES: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value of 2026 Notes extinguished in Debt Exchange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value of 2030 Notes issued in Debt Exchange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1.INTRODUCTION AND BASIS OF PRESENTATION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including the note thereto, should be read in conjunction with the consolidated financial statements and notes thereto of Opendoor Technologies Inc. found in the Company’s Annual Report on Form 10-K for the year ended December 31, 2025. For purposes of these condensed financial statements, the Company’s wholly-owned subsidiaries are accounted for using the equity method of accounting.</w:t>
      </w:r>
    </w:p>
    <w:p>
      <w:pPr>
        <w:pStyle w:val="TextBody"/>
        <w:bidi w:val="0"/>
        <w:spacing w:before="24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Based on the evaluation,</w:t>
      </w:r>
      <w:r>
        <w:rPr>
          <w:color w:val="000000"/>
        </w:rPr>
        <w:t xml:space="preserve"> </w:t>
      </w:r>
      <w:r>
        <w:rPr>
          <w:rFonts w:ascii="Times New Roman;serif" w:hAnsi="Times New Roman;serif"/>
          <w:b w:val="false"/>
          <w:color w:val="000000"/>
          <w:sz w:val="20"/>
        </w:rPr>
        <w:t>our Chief Executive Officer and Chief Financial Officer concluded that the Company’s disclosure controls and procedures are effective at the reasonable assurance level as of December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under the supervision of our Chief Executive Officer and Chief Financial Officer, is responsible for establishing and maintaining adequate internal control over our financial reporting as required by the Sarbanes-Oxley Act of 2002 and as defined in Rules 13a-15(f) and 15d-15(f) under the Exchange Act.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evaluated the design and operating effectiveness of our internal control over financial reporting based on the criteria established in the Internal Control-Integrated Framework (2013) issued by the Committee of Sponsoring Organizations of the Treadway Commission. Based on this evaluation, management concluded that the Company’s internal control over financial reporting was effective as of December 31, 2025. Our independent registered public accounting firm, Deloitte &amp; Touche LLP, has issued an attestation report on the Company’s internal control over financial reporting as of December 31, 2025, which is included below.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in connection with the evaluation required by Rules 13a-15(d) and 15d-15(d) of the Exchange Act that occurred during the quarter ended December 31,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240" w:after="283"/>
        <w:jc w:val="left"/>
        <w:rPr/>
      </w:pPr>
      <w:r>
        <w:rPr>
          <w:rFonts w:ascii="Times New Roman;serif" w:hAnsi="Times New Roman;serif"/>
          <w:b w:val="false"/>
          <w:color w:val="000000"/>
          <w:sz w:val="20"/>
        </w:rPr>
        <w:t xml:space="preserve">We have audited the internal control over financial reporting of Opendoor Technologies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Securities Trading Arrangements of Directors and Executive Officers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contracts, instructions or written plans for the sale or purchase of our securities that were intended to satisfy the affirmative defense conditions of Rule 10b5-1(c) or any “non-Rule 10b5-1 trading arrangement” by our directors or executive officers during the three-month period ended December 31, 2025.</w:t>
      </w:r>
    </w:p>
    <w:tbl>
      <w:tblPr>
        <w:tblW w:w="10205" w:type="dxa"/>
        <w:jc w:val="left"/>
        <w:tblInd w:w="0" w:type="dxa"/>
        <w:tblLayout w:type="fixed"/>
        <w:tblCellMar>
          <w:top w:w="28" w:type="dxa"/>
          <w:left w:w="28" w:type="dxa"/>
          <w:bottom w:w="28" w:type="dxa"/>
          <w:right w:w="28" w:type="dxa"/>
        </w:tblCellMar>
      </w:tblPr>
      <w:tblGrid>
        <w:gridCol w:w="1064"/>
        <w:gridCol w:w="935"/>
        <w:gridCol w:w="940"/>
        <w:gridCol w:w="195"/>
        <w:gridCol w:w="195"/>
        <w:gridCol w:w="196"/>
        <w:gridCol w:w="109"/>
        <w:gridCol w:w="109"/>
        <w:gridCol w:w="109"/>
        <w:gridCol w:w="210"/>
        <w:gridCol w:w="210"/>
        <w:gridCol w:w="216"/>
        <w:gridCol w:w="109"/>
        <w:gridCol w:w="109"/>
        <w:gridCol w:w="109"/>
        <w:gridCol w:w="269"/>
        <w:gridCol w:w="269"/>
        <w:gridCol w:w="244"/>
        <w:gridCol w:w="146"/>
        <w:gridCol w:w="146"/>
        <w:gridCol w:w="146"/>
        <w:gridCol w:w="360"/>
        <w:gridCol w:w="360"/>
        <w:gridCol w:w="366"/>
        <w:gridCol w:w="109"/>
        <w:gridCol w:w="109"/>
        <w:gridCol w:w="109"/>
        <w:gridCol w:w="453"/>
        <w:gridCol w:w="444"/>
        <w:gridCol w:w="445"/>
        <w:gridCol w:w="109"/>
        <w:gridCol w:w="109"/>
        <w:gridCol w:w="109"/>
        <w:gridCol w:w="315"/>
        <w:gridCol w:w="315"/>
        <w:gridCol w:w="458"/>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 xml:space="preserve">Rule 10b5-1 </w:t>
            </w:r>
            <w:r>
              <w:rPr>
                <w:rFonts w:ascii="Times New Roman;serif" w:hAnsi="Times New Roman;serif"/>
                <w:b/>
                <w:color w:val="000000"/>
                <w:sz w:val="13"/>
              </w:rPr>
              <w:t>(1)</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 xml:space="preserve">Non-Rule 10b5-1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Maximum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68" w:before="40" w:after="283"/>
              <w:jc w:val="left"/>
              <w:rPr/>
            </w:pPr>
            <w:r>
              <w:rPr>
                <w:rFonts w:ascii="Times New Roman;serif" w:hAnsi="Times New Roman;serif"/>
                <w:b w:val="false"/>
                <w:color w:val="000000"/>
                <w:sz w:val="16"/>
              </w:rPr>
              <w:t>Shrisha Radhakrishna (Chief Technology &amp; Product Officer and former President)</w:t>
            </w:r>
            <w:r>
              <w:rPr>
                <w:rFonts w:ascii="Times New Roman;serif" w:hAnsi="Times New Roman;serif"/>
                <w:b w:val="false"/>
                <w:color w:val="000000"/>
                <w:sz w:val="10"/>
              </w:rPr>
              <w:t>(3)</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11/26/2025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6"/>
              </w:rPr>
              <w:t>2,861,250</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12/1/2026</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Intended to satisfy the affirmative defense of Rule 10b5-1(c)</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Not intended to satisfy the affirmative defense of Rule 10b5-1(c)</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As of December 10, 2025, Mr. Radhakrishna is no longer an officer as defined in Rule 16a-1.</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At the time of adoption, the maximum number of shares that could be sold was unknown. The Rule 10b5-1 trading arrangement contemplated, as of the adoption date, the sale of up to 2,826,250 shares of common stock subject to RSUs previously granted to Mr. Radhakrishna that will vest or vested at various dates between November 15, 2025 and November 15, 2026, 35,000 shares held directly by Mr. Radhakrishna, as well as an unknown number of shares to be purchased in the future pursuant to the Company’s Employee Stock Purchase Plan. The aggregate number of Mr. Radhakrishna’s RSU shares that will be available for sale under the plan is not yet determinable because the shares available will be net of shares sold to satisfy tax withholding obligations that arise in connection with the vesting and settlement of such RSU awards.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Sell to Cover Instruction Letter</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11, 2025, Ms. Christina Schwartz, our Chief Financial Officer and former interim Chief Financial Officer, entered into a 10b5-1 Instruction Letter (the “Instructions”) with respect to all RSUs granted or to be granted to her under the Company’s equity plans or any successor plans, in order to instruct the broker(s) chosen by the Company to sell shares of common stock in order to satisfy any tax withholding obligations that arise in connection with the vesting and settlement of such RSU awards. The Instructions are intended to satisfy the affirmative defense of Rule 10b5-1(c). The aggregate number of shares to be sold under the Instructions is not determinable and there is no set expiration date for the Instructions.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information with respect to our board of directors and executive officers is presented as of February 19, 2026:</w:t>
      </w:r>
    </w:p>
    <w:tbl>
      <w:tblPr>
        <w:tblW w:w="10205" w:type="dxa"/>
        <w:jc w:val="left"/>
        <w:tblInd w:w="0" w:type="dxa"/>
        <w:tblLayout w:type="fixed"/>
        <w:tblCellMar>
          <w:top w:w="28" w:type="dxa"/>
          <w:left w:w="28" w:type="dxa"/>
          <w:bottom w:w="28" w:type="dxa"/>
          <w:right w:w="28" w:type="dxa"/>
        </w:tblCellMar>
      </w:tblPr>
      <w:tblGrid>
        <w:gridCol w:w="730"/>
        <w:gridCol w:w="630"/>
        <w:gridCol w:w="639"/>
        <w:gridCol w:w="109"/>
        <w:gridCol w:w="109"/>
        <w:gridCol w:w="109"/>
        <w:gridCol w:w="130"/>
        <w:gridCol w:w="130"/>
        <w:gridCol w:w="131"/>
        <w:gridCol w:w="109"/>
        <w:gridCol w:w="109"/>
        <w:gridCol w:w="109"/>
        <w:gridCol w:w="930"/>
        <w:gridCol w:w="922"/>
        <w:gridCol w:w="925"/>
        <w:gridCol w:w="109"/>
        <w:gridCol w:w="109"/>
        <w:gridCol w:w="109"/>
        <w:gridCol w:w="1201"/>
        <w:gridCol w:w="1180"/>
        <w:gridCol w:w="1676"/>
      </w:tblGrid>
      <w:tr>
        <w:trPr/>
        <w:tc>
          <w:tcPr>
            <w:tcW w:w="7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Position at Opendoor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Principal Employment</w:t>
            </w:r>
          </w:p>
        </w:tc>
      </w:tr>
      <w:tr>
        <w:trPr/>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Kaz Nejatian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Chief Executive Officer &amp;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Same</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Christy Schwartz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231F20"/>
                <w:sz w:val="20"/>
              </w:rPr>
            </w:pPr>
            <w:r>
              <w:rPr>
                <w:rFonts w:ascii="Times New Roman;serif" w:hAnsi="Times New Roman;serif"/>
                <w:b w:val="false"/>
                <w:color w:val="231F2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Same</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Lucas Matheson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Same</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Giang Nguyen (LeGrice)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Same</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Keith Rabois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Managing Director of Khosla Ventures</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Eric Feder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231F20"/>
                <w:sz w:val="20"/>
              </w:rPr>
              <w:t>President of LEN</w:t>
            </w:r>
            <w:r>
              <w:rPr>
                <w:rFonts w:ascii="Times New Roman;serif" w:hAnsi="Times New Roman;serif"/>
                <w:b w:val="false"/>
                <w:color w:val="231F20"/>
                <w:sz w:val="13"/>
              </w:rPr>
              <w:t>X</w:t>
            </w:r>
            <w:r>
              <w:rPr>
                <w:rFonts w:ascii="Times New Roman;serif" w:hAnsi="Times New Roman;serif"/>
                <w:b w:val="false"/>
                <w:color w:val="231F20"/>
                <w:sz w:val="20"/>
              </w:rPr>
              <w:t>, LLC</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Adam Bain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Co-Managing Partner, 01 Advisors</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Benson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Former President of Fannie Mae</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Dana Hamilton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Former Head of Real Estate of Pretium Partners LLC</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Eric Wu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231F20"/>
                <w:sz w:val="20"/>
              </w:rPr>
            </w:pPr>
            <w:r>
              <w:rPr>
                <w:rFonts w:ascii="Times New Roman;serif" w:hAnsi="Times New Roman;serif"/>
                <w:b w:val="false"/>
                <w:color w:val="231F20"/>
                <w:sz w:val="20"/>
              </w:rPr>
              <w:t>Co-founder and Co-CEO of NavigateAI</w:t>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our headquarters moved from 410 N. Scottsdale Road, Suite 1000, Tempe, AZ 85288 to 1295 West Washington Street, Suite 115, Tempe, AZ 85288. Any communications from stockholders, including recommendations of nominees to the Company’s board of directors, should be sent to our new headquarters at 1295 West Washington Street, Suite 115, Tempe, AZ 85288.</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information required by this item will be included in our definitive proxy statement for our 2026 annual meeting of stockholders to be filed by us with the SEC within 120 days after the end of our fiscal year ended December 31, 2025 (the “Proxy Statement”) and is incorporated herein by reference.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our Code of Business Conduct and Ethics is posted on our investor relations website, </w:t>
      </w:r>
      <w:r>
        <w:rPr>
          <w:rFonts w:ascii="Times New Roman;serif" w:hAnsi="Times New Roman;serif"/>
          <w:b w:val="false"/>
          <w:i/>
          <w:color w:val="000000"/>
          <w:sz w:val="20"/>
        </w:rPr>
        <w:t>investor.opendoor.com</w:t>
      </w:r>
      <w:r>
        <w:rPr>
          <w:rFonts w:ascii="Times New Roman;serif" w:hAnsi="Times New Roman;serif"/>
          <w:b w:val="false"/>
          <w:color w:val="000000"/>
          <w:sz w:val="20"/>
        </w:rPr>
        <w:t>.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on any of our websites is deemed not to be incorporated in this Annual Report on Form 10-K or to be part of this Annual Report on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Insider Trading Policies and Procedures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Board has adopted an Insider Trading and Trading Windows Policy (“Insider Trading Policy”) that governs the purchase, sale, and/or other disposition of the Company’s securities and is applicable to all directors, officers and other employees of the Company, as well as the Company itself. We believe our Insider Trading Policy is reasonably designed to promote compliance with insider trading laws, rules and regulations, as well as listing standards applicable to us. A copy of our Insider Trading Policy is filed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included in the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about our principal accountant, Deloitte &amp; Touche LLP (PCAOB ID No. 34),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 and Financial Statement Schedules.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(a)Documents files as part of this Annual Report on Form 10-K:</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Index to Consolidated Financial Statements in “Part II – Item 8. Financial Statements and Supplementary Data” herein.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Rule 5-04(c) of Regulation S-X, the following schedule is filed as part of this Annual Report on Form 10-K and should be read in conjunction with the financial statements contained in “Part II – Item 8. Financial Statements and Supplementary Data” herein.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Schedule I – Condensed Financial Information of Opendoor Technologies Inc. (Parent Company)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other financial statement schedules for the Company have been included in the consolidated financial statements or the related footnotes, or are either inapplicable or not required.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3.Exhibits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list of exhibits filed as part of this Annual Report on Form 10-K.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09"/>
        <w:gridCol w:w="109"/>
        <w:gridCol w:w="109"/>
        <w:gridCol w:w="1754"/>
        <w:gridCol w:w="1588"/>
        <w:gridCol w:w="1605"/>
        <w:gridCol w:w="172"/>
        <w:gridCol w:w="172"/>
        <w:gridCol w:w="173"/>
        <w:gridCol w:w="334"/>
        <w:gridCol w:w="245"/>
        <w:gridCol w:w="211"/>
        <w:gridCol w:w="273"/>
        <w:gridCol w:w="273"/>
        <w:gridCol w:w="277"/>
        <w:gridCol w:w="201"/>
        <w:gridCol w:w="201"/>
        <w:gridCol w:w="202"/>
        <w:gridCol w:w="280"/>
        <w:gridCol w:w="280"/>
        <w:gridCol w:w="281"/>
        <w:gridCol w:w="109"/>
        <w:gridCol w:w="109"/>
        <w:gridCol w:w="16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left"/>
              <w:rPr/>
            </w:pPr>
            <w:hyperlink r:id="rId3">
              <w:r>
                <w:rPr>
                  <w:rStyle w:val="InternetLink"/>
                  <w:rFonts w:ascii="Times New Roman;serif" w:hAnsi="Times New Roman;serif"/>
                  <w:b w:val="false"/>
                  <w:color w:val="0000FF"/>
                  <w:sz w:val="20"/>
                  <w:u w:val="single"/>
                </w:rPr>
                <w:t xml:space="preserve">Certificate of Incorporation of Opendoor Technologies Inc. </w:t>
              </w:r>
            </w:hyperlink>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12/18/2020</w:t>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Opendoor Technologies Inc.</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01/24/2023</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Specimen Common Stock Certificate of Opendoor Technologies Inc.</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333-249302</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11/06/2020</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Warrant to Purchase Shares of Common Stock of Opendoor Technologies Inc., dated July 28, 2022, to Zillow, Inc.</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08/05/2022</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20"/>
                  <w:u w:val="single"/>
                </w:rPr>
                <w:t>Indenture, dated as of August 20, 2021, between Opendoor Technologies Inc. and U.S. Bank National Association, as trustee</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08/24/2021</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Indenture, dated as of May 16, 2025, between Opendoor Technologies Inc. and U.S. Bank Trust Company, National Association, as Trustee.</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05/19/2025</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80"/>
              </w:rPr>
              <w:instrText xml:space="preserve"> HYPERLINK "https://www.sec.gov/Archives/edgar/data/1801169/000114036125019770/ef20049190_ex4-1.htm" \l "EXHIBITA"</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Form of 7.000% Convertible Senior Notes due 2030</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"https://www.sec.gov/Archives/edgar/data/1801169/000114036125019770/ef20049190_ex4-1.htm" \l "EXHIBITA"</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w:t>
            </w:r>
            <w:r>
              <w:rPr>
                <w:rStyle w:val="InternetLink"/>
                <w:sz w:val="20"/>
                <w:u w:val="single"/>
                <w:b w:val="false"/>
                <w:rFonts w:ascii="Times New Roman;serif" w:hAnsi="Times New Roman;serif"/>
                <w:color w:val="000080"/>
              </w:rPr>
              <w:fldChar w:fldCharType="end"/>
            </w:r>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A to 4.1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05/19/2025</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Warrant Agreement (including Form of Warrant), dated November 21, 2025, by and between the Company and Equiniti Trust Company, LLC, as Warrant Agent.</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11/21/2025</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ex47descriptionofsecu.htm">
              <w:r>
                <w:rPr>
                  <w:rStyle w:val="InternetLink"/>
                  <w:rFonts w:ascii="Times New Roman;serif" w:hAnsi="Times New Roman;serif"/>
                  <w:b w:val="false"/>
                  <w:color w:val="0000FF"/>
                  <w:sz w:val="20"/>
                  <w:u w:val="single"/>
                </w:rPr>
                <w:t>Description of Securities</w:t>
              </w:r>
            </w:hyperlink>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Amended and Restated Registration Rights Agreement, dated December 18, 2020, by and among the Company, SCH Sponsor II LLC, certain former stockholders of Opendoor Labs Inc., Cipora Herman, David Spillane and ChaChaCha SPAC B, LLC, Hedosophia Group Limited and 010118 Management, L.P.</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12/18/2020</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Indemnification Agreement</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12/18/2020</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Opendoor Labs Inc. 2014 Stock Plan</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S-4</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333-249302</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10/05/2020</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09"/>
        <w:gridCol w:w="109"/>
        <w:gridCol w:w="109"/>
        <w:gridCol w:w="1748"/>
        <w:gridCol w:w="1552"/>
        <w:gridCol w:w="1570"/>
        <w:gridCol w:w="176"/>
        <w:gridCol w:w="176"/>
        <w:gridCol w:w="177"/>
        <w:gridCol w:w="286"/>
        <w:gridCol w:w="286"/>
        <w:gridCol w:w="291"/>
        <w:gridCol w:w="210"/>
        <w:gridCol w:w="210"/>
        <w:gridCol w:w="211"/>
        <w:gridCol w:w="237"/>
        <w:gridCol w:w="237"/>
        <w:gridCol w:w="238"/>
        <w:gridCol w:w="306"/>
        <w:gridCol w:w="306"/>
        <w:gridCol w:w="307"/>
        <w:gridCol w:w="109"/>
        <w:gridCol w:w="109"/>
        <w:gridCol w:w="16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8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Form of Notice of Restricted Stock Unit Grant and RSU Terms and Conditions Under 2014 Stock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S-4</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333-249302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10/05/2020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Form of Notice of Stock Option Grant and Stock Option Agreement under 2014 Stock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333-249302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11/25/2020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Opendoor Technologies Inc. 2020 Incentive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12/18/2020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Form of Restricted Stock Unit Grant Notice and Restricted Stock Unit Agreement under 2020 Incentive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04/02/2021</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 xml:space="preserve">Form of Option Agreement under the 2020 Incentive Award Plan </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11/10/2021</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Form of Restricted Stock Unit Grant Notice and Restricted Stock Unit Agreement (Canada) under 2020 Incentive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08/11/2021</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Opendoor Technologies Inc. Amended and Restated 2020 Employee Stock Purchase Plan (effective as of February 8, 2023)</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02/23/2023</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Form of Performance Restricted Stock Unit Grant Notice and Performance Restricted Stock Unit Agreement under 2020 Incentive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05/02/2024</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Offer Letter Agreement, dated as of September 3, 2020, by and between Opendoor Labs Inc. and Carrie Wheeler</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333-249302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11/27/2020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Amendment of Letter Agreement, dated as of December 1, 2022, by and between Opendoor Technologies Inc. and Carrie Wheeler</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02/23/2023</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ex1014odtnonxemployee.htm">
              <w:r>
                <w:rPr>
                  <w:rStyle w:val="InternetLink"/>
                  <w:rFonts w:ascii="Times New Roman;serif" w:hAnsi="Times New Roman;serif"/>
                  <w:b w:val="false"/>
                  <w:color w:val="0000FF"/>
                  <w:sz w:val="20"/>
                  <w:u w:val="single"/>
                </w:rPr>
                <w:t>Opendoor Technologies Inc. Non-Employee Director Compensation Policy</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Opendoor Technologies Inc. Executive Severance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05/02/2024</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Change in Control Letter Agreement, dated as of January 31, 2022, by and between Opendoor Technologies Inc. and Carrie Wheeler</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05/05/2022</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Opendoor Technologies Inc. 2022 Inducement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333-266877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08/15/2022</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Restricted Stock Unit Grant Notice and Restricted Stock Unit Agreement Under 2022 Inducement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333-266877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08/15/2022</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Form of Stock Option Grant Notice and Stock Option Agreement Under 2022 Inducement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333-266877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08/15/2022</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Offer Letter Agreement, dated as of September 30, 2024, by and between Opendoor Labs Inc. and Selim Freiha</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11/07/2024</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Form of Restricted Stock Unit Grant Notice and Restricted Stock Unit Agreement (India) under 2020 Incentive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02/23/2023</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Offer Letter Agreement dated as of July 10, 2022, by and between Opendoor Labs Inc. and Sydney Schaub</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05/04/2023</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Form of Restricted Stock Unit Grant Notice and Restricted Stock Unit Agreement (India) Under 2022 Inducement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02/15/2024</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Form of Restricted Stock Unit Grant Notice and Restricted Stock Unit Agreement (Canada) Under 2022 Inducement Award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02/15/2024</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Form of Director Offer Letter</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02/27/2025</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Form of Performance Restricted Stock Unit Grant Notice and Performance Restricted Stock Unit Agreement under 2020 Incentive Plan (2025)</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05/06/2025</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09"/>
        <w:gridCol w:w="109"/>
        <w:gridCol w:w="109"/>
        <w:gridCol w:w="1771"/>
        <w:gridCol w:w="1485"/>
        <w:gridCol w:w="1503"/>
        <w:gridCol w:w="170"/>
        <w:gridCol w:w="170"/>
        <w:gridCol w:w="171"/>
        <w:gridCol w:w="338"/>
        <w:gridCol w:w="258"/>
        <w:gridCol w:w="227"/>
        <w:gridCol w:w="301"/>
        <w:gridCol w:w="301"/>
        <w:gridCol w:w="306"/>
        <w:gridCol w:w="217"/>
        <w:gridCol w:w="217"/>
        <w:gridCol w:w="218"/>
        <w:gridCol w:w="291"/>
        <w:gridCol w:w="291"/>
        <w:gridCol w:w="292"/>
        <w:gridCol w:w="109"/>
        <w:gridCol w:w="109"/>
        <w:gridCol w:w="16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9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Form of Restricted Stock Unit Grant Notice and Restricted Stock Unit Agreement under 2020 Incentive Award Plan (Global Addendum)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Form of Exchange and Subscription Agreement for 7.000% Convertible Senior Notes due 2030 of Opendoor Technologies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05/09/2025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Offer Letter Agreement, dated as of September 10, 2024, by and between Opendoor Labs Inc. and Shrisha Radhakrishna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Amendment of Offer Letter Agreement, dated as of August 26, 2025, by and between Opendoor Labs Inc. and Shrisha Radhakrishna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Offer Letter Agreement, dated as of September 10, 2025, by and between Opendoor Labs Inc. and Kaz Nejatian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 xml:space="preserve">Restricted Stock Unit Grant Notice and Restricted Stock Unit Agreement by and between Opendoor Technologies Inc. and Kaz Nejatian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80"/>
                  <w:sz w:val="20"/>
                </w:rPr>
                <w:t>E</w:t>
              </w:r>
            </w:hyperlink>
            <w:hyperlink r:id="rId42">
              <w:r>
                <w:rPr>
                  <w:rStyle w:val="InternetLink"/>
                  <w:rFonts w:ascii="Times New Roman;serif" w:hAnsi="Times New Roman;serif"/>
                  <w:b w:val="false"/>
                  <w:color w:val="000080"/>
                  <w:sz w:val="20"/>
                </w:rPr>
                <w:t>xhibit A to 10.</w:t>
              </w:r>
            </w:hyperlink>
            <w:r>
              <w:rPr>
                <w:rFonts w:ascii="Times New Roman;serif" w:hAnsi="Times New Roman;serif"/>
                <w:b w:val="false"/>
                <w:color w:val="000000"/>
                <w:sz w:val="20"/>
              </w:rPr>
              <w:t>3</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 xml:space="preserve">Performance Restricted Stock Unit Grant Notice and Performance Restricted Stock Unit Agreement (First Sign-On PSU Award) by and between Opendoor Technologies Inc. and Kaz Nejatian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333-290224</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09/12/2025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 xml:space="preserve">Performance Restricted Stock Unit Grant Notice and Performance Restricted Stock Unit Agreement (Second Sign-On PSU Award) by and between Opendoor Technologies Inc. and Kaz Nejatian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333-290224</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09/12/2025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Offer Letter Agreement, dated as of September 18, 2025, by and between Opendoor Labs Inc. and Christy Schwartz</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Advisory Agreement, dated as of August 15, 2025, by and between Opendoor Technologies Inc. and Carrie Wheeler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80"/>
                  <w:sz w:val="20"/>
                  <w:u w:val="single"/>
                </w:rPr>
                <w:t>F</w:t>
              </w:r>
            </w:hyperlink>
            <w:hyperlink r:id="rId48">
              <w:r>
                <w:rPr>
                  <w:rStyle w:val="InternetLink"/>
                  <w:rFonts w:ascii="Times New Roman;serif" w:hAnsi="Times New Roman;serif"/>
                  <w:b w:val="false"/>
                  <w:color w:val="000080"/>
                  <w:sz w:val="20"/>
                  <w:u w:val="single"/>
                </w:rPr>
                <w:t>orm of Share Purchase A</w:t>
              </w:r>
            </w:hyperlink>
            <w:hyperlink r:id="rId49">
              <w:r>
                <w:rPr>
                  <w:rStyle w:val="InternetLink"/>
                  <w:rFonts w:ascii="Times New Roman;serif" w:hAnsi="Times New Roman;serif"/>
                  <w:b w:val="false"/>
                  <w:color w:val="000080"/>
                  <w:sz w:val="20"/>
                  <w:u w:val="single"/>
                </w:rPr>
                <w:t xml:space="preserve">greement, dated November 6, 2025, by and between Opendoor Technologies Inc. and the </w:t>
              </w:r>
            </w:hyperlink>
            <w:hyperlink r:id="rId50">
              <w:r>
                <w:rPr>
                  <w:rStyle w:val="InternetLink"/>
                  <w:rFonts w:ascii="Times New Roman;serif" w:hAnsi="Times New Roman;serif"/>
                  <w:b w:val="false"/>
                  <w:color w:val="000080"/>
                  <w:sz w:val="20"/>
                  <w:u w:val="single"/>
                </w:rPr>
                <w:t>Purchasers</w:t>
              </w:r>
            </w:hyperlink>
            <w:hyperlink r:id="rId51">
              <w:r>
                <w:rPr>
                  <w:rStyle w:val="InternetLink"/>
                  <w:rFonts w:ascii="Times New Roman;serif" w:hAnsi="Times New Roman;serif"/>
                  <w:b w:val="false"/>
                  <w:color w:val="000080"/>
                  <w:sz w:val="20"/>
                  <w:u w:val="single"/>
                </w:rPr>
                <w:t xml:space="preserve"> listed on Schedule A thereto</w:t>
              </w:r>
            </w:hyperlink>
            <w:hyperlink r:id="rId52">
              <w:r>
                <w:rPr>
                  <w:rStyle w:val="InternetLink"/>
                  <w:rFonts w:ascii="Times New Roman;serif" w:hAnsi="Times New Roman;serif"/>
                  <w:b w:val="false"/>
                  <w:color w:val="000080"/>
                  <w:sz w:val="20"/>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11/06/2025</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ex1038opendoorxofferl.htm">
              <w:r>
                <w:rPr>
                  <w:rStyle w:val="InternetLink"/>
                  <w:rFonts w:ascii="Times New Roman;serif" w:hAnsi="Times New Roman;serif"/>
                  <w:b w:val="false"/>
                  <w:color w:val="000080"/>
                  <w:sz w:val="20"/>
                  <w:u w:val="single"/>
                </w:rPr>
                <w:t>O</w:t>
              </w:r>
            </w:hyperlink>
            <w:hyperlink w:anchor="a2025ex1038opendoorxofferl.htm">
              <w:r>
                <w:rPr>
                  <w:rStyle w:val="InternetLink"/>
                  <w:rFonts w:ascii="Times New Roman;serif" w:hAnsi="Times New Roman;serif"/>
                  <w:b w:val="false"/>
                  <w:color w:val="000080"/>
                  <w:sz w:val="20"/>
                  <w:u w:val="single"/>
                </w:rPr>
                <w:t>ffer Letter Agreement, dated as of S</w:t>
              </w:r>
            </w:hyperlink>
            <w:hyperlink w:anchor="a2025ex1038opendoorxofferl.htm">
              <w:r>
                <w:rPr>
                  <w:rStyle w:val="InternetLink"/>
                  <w:rFonts w:ascii="Times New Roman;serif" w:hAnsi="Times New Roman;serif"/>
                  <w:b w:val="false"/>
                  <w:color w:val="000080"/>
                  <w:sz w:val="20"/>
                  <w:u w:val="single"/>
                </w:rPr>
                <w:t>eptember</w:t>
              </w:r>
            </w:hyperlink>
            <w:hyperlink w:anchor="a2025ex1038opendoorxofferl.htm">
              <w:r>
                <w:rPr>
                  <w:rStyle w:val="InternetLink"/>
                  <w:rFonts w:ascii="Times New Roman;serif" w:hAnsi="Times New Roman;serif"/>
                  <w:b w:val="false"/>
                  <w:color w:val="000080"/>
                  <w:sz w:val="20"/>
                  <w:u w:val="single"/>
                </w:rPr>
                <w:t xml:space="preserve"> 23,</w:t>
              </w:r>
            </w:hyperlink>
            <w:hyperlink w:anchor="a2025ex1038opendoorxofferl.htm">
              <w:r>
                <w:rPr>
                  <w:rStyle w:val="InternetLink"/>
                  <w:rFonts w:ascii="Times New Roman;serif" w:hAnsi="Times New Roman;serif"/>
                  <w:b w:val="false"/>
                  <w:color w:val="000080"/>
                  <w:sz w:val="20"/>
                  <w:u w:val="single"/>
                </w:rPr>
                <w:t xml:space="preserve"> 2025</w:t>
              </w:r>
            </w:hyperlink>
            <w:hyperlink w:anchor="a2025ex1038opendoorxofferl.htm">
              <w:r>
                <w:rPr>
                  <w:rStyle w:val="InternetLink"/>
                  <w:rFonts w:ascii="Times New Roman;serif" w:hAnsi="Times New Roman;serif"/>
                  <w:b w:val="false"/>
                  <w:color w:val="000080"/>
                  <w:sz w:val="20"/>
                  <w:u w:val="single"/>
                </w:rPr>
                <w:t xml:space="preserve"> by a</w:t>
              </w:r>
            </w:hyperlink>
            <w:hyperlink w:anchor="a2025ex1038opendoorxofferl.htm">
              <w:r>
                <w:rPr>
                  <w:rStyle w:val="InternetLink"/>
                  <w:rFonts w:ascii="Times New Roman;serif" w:hAnsi="Times New Roman;serif"/>
                  <w:b w:val="false"/>
                  <w:color w:val="000080"/>
                  <w:sz w:val="20"/>
                  <w:u w:val="single"/>
                </w:rPr>
                <w:t>nd</w:t>
              </w:r>
            </w:hyperlink>
            <w:hyperlink w:anchor="a2025ex1038opendoorxofferl.htm">
              <w:r>
                <w:rPr>
                  <w:rStyle w:val="InternetLink"/>
                  <w:rFonts w:ascii="Times New Roman;serif" w:hAnsi="Times New Roman;serif"/>
                  <w:b w:val="false"/>
                  <w:color w:val="000080"/>
                  <w:sz w:val="20"/>
                  <w:u w:val="single"/>
                </w:rPr>
                <w:t xml:space="preserve"> </w:t>
              </w:r>
            </w:hyperlink>
            <w:hyperlink w:anchor="a2025ex1038opendoorxofferl.htm">
              <w:r>
                <w:rPr>
                  <w:rStyle w:val="InternetLink"/>
                  <w:rFonts w:ascii="Times New Roman;serif" w:hAnsi="Times New Roman;serif"/>
                  <w:b w:val="false"/>
                  <w:color w:val="000080"/>
                  <w:sz w:val="20"/>
                  <w:u w:val="single"/>
                </w:rPr>
                <w:t>b</w:t>
              </w:r>
            </w:hyperlink>
            <w:hyperlink w:anchor="a2025ex1038opendoorxofferl.htm">
              <w:r>
                <w:rPr>
                  <w:rStyle w:val="InternetLink"/>
                  <w:rFonts w:ascii="Times New Roman;serif" w:hAnsi="Times New Roman;serif"/>
                  <w:b w:val="false"/>
                  <w:color w:val="000080"/>
                  <w:sz w:val="20"/>
                  <w:u w:val="single"/>
                </w:rPr>
                <w:t>etween</w:t>
              </w:r>
            </w:hyperlink>
            <w:hyperlink w:anchor="a2025ex1038opendoorxofferl.htm">
              <w:r>
                <w:rPr>
                  <w:rStyle w:val="InternetLink"/>
                  <w:rFonts w:ascii="Times New Roman;serif" w:hAnsi="Times New Roman;serif"/>
                  <w:b w:val="false"/>
                  <w:color w:val="000080"/>
                  <w:sz w:val="20"/>
                  <w:u w:val="single"/>
                </w:rPr>
                <w:t xml:space="preserve"> Opendoor Labs Inc. and Giang Nguyen</w:t>
              </w:r>
            </w:hyperlink>
            <w:r>
              <w:rPr>
                <w:rFonts w:ascii="Times New Roman;serif" w:hAnsi="Times New Roman;serif"/>
                <w:b w:val="false"/>
                <w:color w:val="000000"/>
                <w:sz w:val="20"/>
              </w:rPr>
              <w: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ex1039opendoorxofferl.htm">
              <w:r>
                <w:rPr>
                  <w:rStyle w:val="InternetLink"/>
                  <w:rFonts w:ascii="Times New Roman;serif" w:hAnsi="Times New Roman;serif"/>
                  <w:b w:val="false"/>
                  <w:color w:val="0000FF"/>
                  <w:sz w:val="20"/>
                  <w:u w:val="single"/>
                </w:rPr>
                <w:t>Offer Letter Agreement, dated as of December 12, 2025 by and between Opendoor Operations Canada Inc. and Lucas Matheson.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ex1040opendoorxamende.htm">
              <w:r>
                <w:rPr>
                  <w:rStyle w:val="InternetLink"/>
                  <w:rFonts w:ascii="Times New Roman;serif" w:hAnsi="Times New Roman;serif"/>
                  <w:b w:val="false"/>
                  <w:color w:val="000080"/>
                  <w:sz w:val="20"/>
                  <w:u w:val="single"/>
                </w:rPr>
                <w:t>O</w:t>
              </w:r>
            </w:hyperlink>
            <w:hyperlink w:anchor="a2025ex1040opendoorxamende.htm">
              <w:r>
                <w:rPr>
                  <w:rStyle w:val="InternetLink"/>
                  <w:rFonts w:ascii="Times New Roman;serif" w:hAnsi="Times New Roman;serif"/>
                  <w:b w:val="false"/>
                  <w:color w:val="000080"/>
                  <w:sz w:val="20"/>
                  <w:u w:val="single"/>
                </w:rPr>
                <w:t>ffe</w:t>
              </w:r>
            </w:hyperlink>
            <w:hyperlink w:anchor="a2025ex1040opendoorxamende.htm">
              <w:r>
                <w:rPr>
                  <w:rStyle w:val="InternetLink"/>
                  <w:rFonts w:ascii="Times New Roman;serif" w:hAnsi="Times New Roman;serif"/>
                  <w:b w:val="false"/>
                  <w:color w:val="000080"/>
                  <w:sz w:val="20"/>
                  <w:u w:val="single"/>
                </w:rPr>
                <w:t>r Letter Agreement, dated as of December 12, 2025 by and between Opendoor Labs Inc. and Christy Schwartz.</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ex1041opendoorxofferl.htm">
              <w:r>
                <w:rPr>
                  <w:rStyle w:val="InternetLink"/>
                  <w:rFonts w:ascii="Times New Roman;serif" w:hAnsi="Times New Roman;serif"/>
                  <w:b w:val="false"/>
                  <w:color w:val="000080"/>
                  <w:sz w:val="20"/>
                  <w:u w:val="single"/>
                </w:rPr>
                <w:t>O</w:t>
              </w:r>
            </w:hyperlink>
            <w:hyperlink w:anchor="a2025ex1041opendoorxofferl.htm">
              <w:r>
                <w:rPr>
                  <w:rStyle w:val="InternetLink"/>
                  <w:rFonts w:ascii="Times New Roman;serif" w:hAnsi="Times New Roman;serif"/>
                  <w:b w:val="false"/>
                  <w:color w:val="000080"/>
                  <w:sz w:val="20"/>
                  <w:u w:val="single"/>
                </w:rPr>
                <w:t xml:space="preserve">ffer Letter Agreement, dated as of </w:t>
              </w:r>
            </w:hyperlink>
            <w:hyperlink w:anchor="a2025ex1041opendoorxofferl.htm">
              <w:r>
                <w:rPr>
                  <w:rStyle w:val="InternetLink"/>
                  <w:rFonts w:ascii="Times New Roman;serif" w:hAnsi="Times New Roman;serif"/>
                  <w:b w:val="false"/>
                  <w:color w:val="000080"/>
                  <w:sz w:val="20"/>
                  <w:u w:val="single"/>
                </w:rPr>
                <w:t>December 22, 2025 by and between Opendoor Labs Inc. and Giang Nguyen.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ex191odtinsidertradin.htm">
              <w:r>
                <w:rPr>
                  <w:rStyle w:val="InternetLink"/>
                  <w:rFonts w:ascii="Times New Roman;serif" w:hAnsi="Times New Roman;serif"/>
                  <w:b w:val="false"/>
                  <w:color w:val="0000FF"/>
                  <w:sz w:val="20"/>
                  <w:u w:val="single"/>
                </w:rPr>
                <w:t>Insider Trading and Trading Window Policy</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ex211xlistofsubsidiar.htm">
              <w:r>
                <w:rPr>
                  <w:rStyle w:val="InternetLink"/>
                  <w:rFonts w:ascii="Times New Roman;serif" w:hAnsi="Times New Roman;serif"/>
                  <w:b w:val="false"/>
                  <w:color w:val="0000FF"/>
                  <w:sz w:val="20"/>
                  <w:u w:val="single"/>
                </w:rPr>
                <w:t>List of subsidiaries of Opendoor Technologies Inc.</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ex231xconsentofdeloit.htm">
              <w:r>
                <w:rPr>
                  <w:rStyle w:val="InternetLink"/>
                  <w:rFonts w:ascii="Times New Roman;serif" w:hAnsi="Times New Roman;serif"/>
                  <w:b w:val="false"/>
                  <w:color w:val="0000FF"/>
                  <w:sz w:val="20"/>
                  <w:u w:val="single"/>
                </w:rPr>
                <w:t>Consent of Deloitte &amp; Touche LLP</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12.htm">
              <w:r>
                <w:rPr>
                  <w:rStyle w:val="InternetLink"/>
                  <w:rFonts w:ascii="Times New Roman;serif" w:hAnsi="Times New Roman;serif"/>
                  <w:b w:val="false"/>
                  <w:color w:val="000080"/>
                  <w:sz w:val="20"/>
                  <w:u w:val="single"/>
                </w:rPr>
                <w:t xml:space="preserve">Certification of </w:t>
              </w:r>
            </w:hyperlink>
            <w:hyperlink w:anchor="a202510-kexhibit312.htm">
              <w:r>
                <w:rPr>
                  <w:rStyle w:val="InternetLink"/>
                  <w:rFonts w:ascii="Times New Roman;serif" w:hAnsi="Times New Roman;serif"/>
                  <w:b w:val="false"/>
                  <w:color w:val="000080"/>
                  <w:sz w:val="20"/>
                  <w:u w:val="single"/>
                </w:rPr>
                <w:t>Chief Financial Officer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1aca5f4767c9461895b71eac8785f0a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tbl>
      <w:tblPr>
        <w:tblW w:w="10205" w:type="dxa"/>
        <w:jc w:val="left"/>
        <w:tblInd w:w="0" w:type="dxa"/>
        <w:tblLayout w:type="fixed"/>
        <w:tblCellMar>
          <w:top w:w="28" w:type="dxa"/>
          <w:left w:w="28" w:type="dxa"/>
          <w:bottom w:w="28" w:type="dxa"/>
          <w:right w:w="28" w:type="dxa"/>
        </w:tblCellMar>
      </w:tblPr>
      <w:tblGrid>
        <w:gridCol w:w="257"/>
        <w:gridCol w:w="225"/>
        <w:gridCol w:w="227"/>
        <w:gridCol w:w="109"/>
        <w:gridCol w:w="109"/>
        <w:gridCol w:w="109"/>
        <w:gridCol w:w="109"/>
        <w:gridCol w:w="109"/>
        <w:gridCol w:w="109"/>
        <w:gridCol w:w="1666"/>
        <w:gridCol w:w="1666"/>
        <w:gridCol w:w="1681"/>
        <w:gridCol w:w="170"/>
        <w:gridCol w:w="170"/>
        <w:gridCol w:w="171"/>
        <w:gridCol w:w="255"/>
        <w:gridCol w:w="255"/>
        <w:gridCol w:w="226"/>
        <w:gridCol w:w="210"/>
        <w:gridCol w:w="210"/>
        <w:gridCol w:w="211"/>
        <w:gridCol w:w="226"/>
        <w:gridCol w:w="226"/>
        <w:gridCol w:w="227"/>
        <w:gridCol w:w="298"/>
        <w:gridCol w:w="298"/>
        <w:gridCol w:w="299"/>
        <w:gridCol w:w="109"/>
        <w:gridCol w:w="109"/>
        <w:gridCol w:w="159"/>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21.htm">
              <w:r>
                <w:rPr>
                  <w:rStyle w:val="InternetLink"/>
                  <w:rFonts w:ascii="Times New Roman;serif" w:hAnsi="Times New Roman;serif"/>
                  <w:b w:val="false"/>
                  <w:color w:val="000080"/>
                  <w:sz w:val="20"/>
                  <w:u w:val="single"/>
                </w:rPr>
                <w:t xml:space="preserve">Certification of Chief Executive Officer and </w:t>
              </w:r>
            </w:hyperlink>
            <w:hyperlink w:anchor="a202510-kexhibit321.htm">
              <w:r>
                <w:rPr>
                  <w:rStyle w:val="InternetLink"/>
                  <w:rFonts w:ascii="Times New Roman;serif" w:hAnsi="Times New Roman;serif"/>
                  <w:b w:val="false"/>
                  <w:color w:val="000080"/>
                  <w:sz w:val="20"/>
                  <w:u w:val="single"/>
                </w:rPr>
                <w:t>Chief Financial Officer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Policy for Recovery of Erroneously Awarded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02/15/2024</w:t>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(as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Certain of the exhibits and schedules to this Exhibit have been omitted in accordance with Regulation S-K Item 601(a)(5). The Registrant agrees to furnish a copy of all omitted exhibits and schedules to the SEC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60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267"/>
        <w:gridCol w:w="267"/>
        <w:gridCol w:w="267"/>
        <w:gridCol w:w="267"/>
        <w:gridCol w:w="267"/>
        <w:gridCol w:w="267"/>
        <w:gridCol w:w="267"/>
        <w:gridCol w:w="267"/>
        <w:gridCol w:w="267"/>
        <w:gridCol w:w="597"/>
        <w:gridCol w:w="597"/>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OPENDOOR TECHNOLOGIES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5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and in the capacities and on the dates indicated.</w:t>
      </w:r>
    </w:p>
    <w:tbl>
      <w:tblPr>
        <w:tblW w:w="7746" w:type="dxa"/>
        <w:jc w:val="left"/>
        <w:tblInd w:w="0" w:type="dxa"/>
        <w:tblLayout w:type="fixed"/>
        <w:tblCellMar>
          <w:top w:w="28" w:type="dxa"/>
          <w:left w:w="28" w:type="dxa"/>
          <w:bottom w:w="28" w:type="dxa"/>
          <w:right w:w="28" w:type="dxa"/>
        </w:tblCellMar>
      </w:tblPr>
      <w:tblGrid>
        <w:gridCol w:w="322"/>
        <w:gridCol w:w="282"/>
        <w:gridCol w:w="282"/>
        <w:gridCol w:w="282"/>
        <w:gridCol w:w="282"/>
        <w:gridCol w:w="289"/>
        <w:gridCol w:w="109"/>
        <w:gridCol w:w="109"/>
        <w:gridCol w:w="109"/>
        <w:gridCol w:w="1234"/>
        <w:gridCol w:w="1234"/>
        <w:gridCol w:w="1251"/>
        <w:gridCol w:w="109"/>
        <w:gridCol w:w="109"/>
        <w:gridCol w:w="109"/>
        <w:gridCol w:w="478"/>
        <w:gridCol w:w="478"/>
        <w:gridCol w:w="678"/>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7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Kaz Nejatian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Kaz Nejatian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Christy Schwartz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Christy Schwartz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Adam Bain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Adam Bain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David Benson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David Benson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Eric Feder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Eric Feder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Dana Hamilton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Dana Hamilton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Keith Rabois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Keith Rabois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Eric Wu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17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Eric Wu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333" w:before="0" w:after="200"/>
        <w:jc w:val="right"/>
        <w:rPr>
          <w:rFonts w:ascii="Times New Roman;serif" w:hAnsi="Times New Roman;serif"/>
          <w:b/>
          <w:color w:val="000000"/>
          <w:sz w:val="20"/>
        </w:rPr>
      </w:pPr>
      <w:r>
        <w:rPr>
          <w:rFonts w:ascii="Times New Roman;serif" w:hAnsi="Times New Roman;serif"/>
          <w:b/>
          <w:color w:val="000000"/>
          <w:sz w:val="20"/>
        </w:rPr>
        <w:t>Exhibit 4.7</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 xml:space="preserve">DESCRIPTION OF REGISTRANT’S SECURITIES REGISTERED PURSUANT TO SECTION 12 OF THE SECURITIES EXCHANGE OF 1934, AS AMENDED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This description is summarized from, and qualified in its entirety by reference to, our certificate of incorporation, our amended and restated bylaws, our amended and restated registration rights agreement to which we and certain of our stockholders are parties and our warrant agreement with Equiniti Trust Company, LLC, as warrant agent, dated November 21, 2025 (“warrant agreement”), and by applicable law. We encourage you to read our certificate of incorporation, our amended and restated bylaws, our amended and restated registration rights agreement and our warrant agreement, each of which has been publicly filed with the U.S. Securities and Exchange Commission, and the applicable provisions of Delaware law, for more information.</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Capital Stock </w:t>
      </w:r>
    </w:p>
    <w:p>
      <w:pPr>
        <w:pStyle w:val="TextBody"/>
        <w:bidi w:val="0"/>
        <w:spacing w:lineRule="auto" w:line="333" w:before="0" w:after="20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authorized capital stock consists of: </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3,000,000,000 shares of common stock, $0.0001 par value; and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100,000,000 shares of preferred stock, $0.0001 par value.</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All shares of our common stock outstanding are fully paid and non-assessable.</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not entitled to preemptive or other similar subscription rights to purchase any of the Company’s securities. Our common stock is neither convertible nor redeemable and has no sinking fund provisions. Unless our board of directors determines otherwise, we issue all of our capital stock in uncertificated form.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Voting Rights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our common stock is entitled to one vote per share on each matter submitted to a vote of stockholders, as provided by our certificate of incorporation. Our amended and restated bylaws provide that the holders of a majority in voting power of the capital stock issued and outstanding and entitled to vote, present in person, or by remote communication, if applicable, or represented by proxy, will constitute a quorum at all meetings of the stockholders for the transaction of business. When a quorum is present, the affirmative vote of a majority in voting power of the votes cast is required to take action, unless otherwise specified by law, the rules or regulations of any stock exchange applicable to the Company, the amended and restated bylaws or the certificate of incorporation, and except for the election of directors, which is determined by a plurality of the votes cast. There are no cumulative voting rights.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Dividend Rights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shares of our capital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Other Rights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our common stock is subject to, and may be adversely affected by, the rights of the holders of any series of our preferred stock that we may designate and issue in the future.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Liquidation Rights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 </w:t>
      </w:r>
    </w:p>
    <w:p>
      <w:pPr>
        <w:pStyle w:val="TextBody"/>
        <w:bidi w:val="0"/>
        <w:spacing w:lineRule="auto" w:line="333" w:before="0" w:after="200"/>
        <w:jc w:val="both"/>
        <w:rPr>
          <w:rFonts w:ascii="Times New Roman;serif" w:hAnsi="Times New Roman;serif"/>
          <w:b/>
          <w:color w:val="000000"/>
          <w:sz w:val="20"/>
        </w:rPr>
      </w:pPr>
      <w:r>
        <w:rPr>
          <w:rFonts w:ascii="Times New Roman;serif" w:hAnsi="Times New Roman;serif"/>
          <w:b/>
          <w:color w:val="000000"/>
          <w:sz w:val="20"/>
        </w:rPr>
        <w:t xml:space="preserve">Registration Rights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amended and restated registration rights agreement, we agreed to file a shelf registration statement with respect to the registrable securities under the registration rights agreement. Certain stockholders may request to sell all or any portion of their registrable securities in an underwritten offering up to two times in any 12-month period, so long as the total offering price is reasonably expected to exceed $100.0 million. We also agreed to provide “piggyback” registration rights, subject to certain requirements and customary conditions. The amended and restated registration rights agreement also provides that we will pay certain expenses relating to such registrations and indemnify the stockholders against certain liabilities.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Anti-Takeover Effects of Provisions of Our Certificate of Incorporation and Our Amended and Restated Bylaws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and our amended and restated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stockholders may favor.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Special Meetings of Stockholders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a special meeting of stockholders may be called only by the (a) the Chairperson of our board of directors, (b) our board of directors, (c) our Chief Executive Officer or (d) our President, provided that such special meeting may be postponed, rescheduled or cancelled by our board of directors or other person calling the meeting.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Classified Board of Directors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directors shall be classified with respect to the time for which they severally hold office into three classes, designated as Class I, Class II and Class III. Each class shall consist, as nearly as may be possible, of one third of the total number of directors constituting the whole board of directors. At each annual meeting of stockholders of the Company, the successors of the class of directors whose term expires at that meeting shall be elected to hold office for a term expiring at the annual meeting of stockholders held in the third year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year of their election. Each director shall hold office until his or her successor is duly elected and qualified or until his or her earlier death, resignation, disqualification or removal in accordance with the certificate of incorporation. No decrease in the number of directors shall shorten the term of any incumbent director. The classification of the board of directors could make it more difficult for a third party to acquire, or discourage a third party from seeking to acquire, control of our Company.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Action by Written Consent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provides that any action required or permitted to be taken by the stockholders must be effected at an annual or special meeting of the stockholders, and may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to the extent expressly so provided by the applicable certificate of designation relating to such series of preferred stock.</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Removal of Directors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or any individual director may be removed from office at any time, but only for cause and only by the affirmative vote of the holders of at least a majority of the voting power of all of the then outstanding shares of our voting stock entitled to vote at an election of directors.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Delaware Anti-Takeover Statute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we are not subject to Section 203 of the DGCL, an anti-takeover law. 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(1) the board of directors of such corporation approves the acquisition of stock or the merger transaction before the time that the person becomes an interested stockholder, (2) the interested stockholder owns at least 85% of the outstanding voting stock of such corporation at the time the merger transaction commences (excluding voting stock owned by directors who are also officers and certain employee stock plans), or (3) the merger transaction is approved by the board of directors and at a meeting of stockholders, not by written consent, by the affirmative vote of 2/3 of the outstanding voting stock which is not owned by the interested stockholder. However, our certificate of incorporation contains provisions that have a similar effect to Section 203, except that they provide that certain stockholders will not be deemed to be “interested stockholders”, regardless of the percentage of our voting stock owned by them, and accordingly will not be subject to such restrictions.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Exclusive Jurisdiction of Certain Actions </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The certificate of incorporation provides that, unless the Company consents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and any appellate court thereof shall, to the fullest extent permitted by law, shall be the sole and exclusive forum for (i) any derivative action, suit or proceeding brought on behalf of the Company, (ii) any action, suit or proceeding asserting a claim of breach of a fiduciary duty owed by any director, officer or stockholder of the Company to the Company or to the Company’s stockholders, (iii) any action, suit or proceeding arising pursuant to any provision of the DGCL or the amended and restated bylaws or the certificate of incorporation (as either may be amended from time to time), (iv) any action, suit or proceeding as to which the DGCL confers jurisdiction on the Court of Chancery of the State of Delaware, or (v) any action, suit or proceeding asserting a claim against the Corporation or any current or former director, officer or stockholder governed by the internal affairs doctrine. If any action the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matter of which is within the scope of the immediately preceding sentence is filed in a court other than the courts in the State of Delaware (a “Foreign Action”) in the name of any stockholder, such stockholder shall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Notwithstanding the foregoing, the Certificate of Incorporation provides that the exclusive forum provision shall not apply to suits brought to enforce any liability or duty created by the Securities Act of 1933, as amended (the “Securities Act”), the Securities Exchange Act of 1934, as amended, or any other claim for which the federal courts of the United States have exclusive jurisdiction. 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Nasdaq Global Select Market Listing </w:t>
      </w:r>
    </w:p>
    <w:p>
      <w:pPr>
        <w:pStyle w:val="TextBody"/>
        <w:bidi w:val="0"/>
        <w:spacing w:lineRule="auto" w:line="333" w:before="0" w:after="20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Global Select Market under the symbol “OPEN.”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 xml:space="preserve">Transfer Agent </w:t>
      </w:r>
    </w:p>
    <w:p>
      <w:pPr>
        <w:pStyle w:val="TextBody"/>
        <w:bidi w:val="0"/>
        <w:spacing w:lineRule="auto" w:line="333" w:before="0" w:after="20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common stock is Equiniti Trust Company, LLC.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Series K, Series A and Series Z Warrants</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publicly traded warrants (the “Warrants”) originally issued pursuant to, and governed by the terms of, our warrant agreement, a copy of which is filed as an exhibit to our Annual Report on Form 10-K. The Warrants consists of three series, Series K Warrants, Series A Warrants and Series Z Warrants, each of which are currently listed on Nasdaq under the symbols “OPENW” for the Series K Warrants, “OPENL” for the Series A Warrants, and “OPENZ” for the Series Z Warrants.</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On November 21, 2025, we issued a total of (i) 33,098,382 Series K Warrants (which represent the right to purchase up to 33,098,382 shares of our common stock, assuming that no Series K Warrants or shares of our common stock are rounded down), (ii) 33,098,382 Series A Warrants (which represent the right to purchase up to 33,098,382 shares of our common stock, assuming that no Series A Warrants or shares of our common stock are rounded down) and (iii) 33,098,382 Series Z Warrants (which represent the right to purchase up to 33,098,382 shares of our common stock, assuming that no Series Z Warrants or shares of our common stock are rounded down). As of February 12, 2026, 33,093,641 Series K Warrants, 33,097,767 Series A Warrants and 33,097,768 Series Z Warrants remain outstanding.</w:t>
      </w:r>
    </w:p>
    <w:p>
      <w:pPr>
        <w:pStyle w:val="TextBody"/>
        <w:bidi w:val="0"/>
        <w:spacing w:lineRule="auto" w:line="333" w:before="0" w:after="200"/>
        <w:ind w:left="0" w:right="0" w:firstLine="400"/>
        <w:jc w:val="both"/>
        <w:rPr>
          <w:rFonts w:ascii="Times New Roman;serif" w:hAnsi="Times New Roman;serif"/>
          <w:b w:val="false"/>
          <w:i/>
          <w:color w:val="000000"/>
          <w:sz w:val="20"/>
        </w:rPr>
      </w:pPr>
      <w:r>
        <w:rPr>
          <w:rFonts w:ascii="Times New Roman;serif" w:hAnsi="Times New Roman;serif"/>
          <w:b w:val="false"/>
          <w:i/>
          <w:color w:val="000000"/>
          <w:sz w:val="20"/>
        </w:rPr>
        <w:t>Exercise</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Each Warrant for each series is exercisable for one share of our common stock, subject to certain adjustments set forth in the warrant agreement and as further described below. Such number of shares of our common stock, as it may be adjusted, is referred to as the warrant exercise rate. We will not issue fractional shares of our common stock, or pay cash in lieu thereof, upon the exercise of any Warrant, including any net exercise (as described below). If a warrant holder would be entitled to receive a fractional number of shares of our common stock upon exercise of its Warrants, we will round down the total number of shares of our common stock to be issued to such holder to the nearest whole number.</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The warrant exercise price for each series of Warrants is, initially, $9.00 for each Series K Warrant (the “Series K Exercise Price”), $13.00 for each Series A Warrant (the “Series A Exercise Price”) and $17.00 for each Series Z Warrant (the “Series Z Exercise Price”). The Warrant Exercise Price for each series of Warrants must be paid in cash unless we elect, in our sole discretion, to change the exercise method for such series of Warrants to net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provisions of the warrant agreement. If we elect for a series of Warrants to be subject to net exercise, no cash exercise price will be paid to exercise Warrants of that series and the number of shares issuable upon exercise of Warrants of that series will be calculated in accordance with the formula set forth below under “Issuer Option to Change Exercise Method to Net Exercise” below.</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Subject to applicable laws and regulations, the Warrants of each series may be exercised at any time until 5:00 p.m. New York City time on the Expiration Date (as defined below) for such series of Warrants. Any otherwise valid exercise of a Warrant submitted after the applicable deadline for exercise may, in our sole and absolute discretion, be accepted and honored.</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With respect to each series of Warrants, upon the occurrence of the first 30 consecutive VWAP Trading Day (as defined in the warrant agreement) period (in each case, a “Reference Period”) that includes 20 Qualifying Trading Days (whether or not consecutive) for such series of Warrants (an “Early Expiration Price Condition” for a series of Warrants, and the last of such 20 Qualifying Trading Days to occur, an “Early Expiration Price Condition Date” for such series of Warrants), the Expiration Date for the applicable series of Warrants will automatically accelerate to the first Scheduled Trading Day (as defined in the warrant agreement) (or, if a Net Exercise Period (as defined below) is in effect for such series of Warrants, the second Scheduled Trading Day) immediately following the Early Expiration Price Condition Date for such series of Warrants. Notwithstanding the foregoing, we may set an Alternate Expiration Date (defined below) for a series of Warrants as described below.</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For purposes of this description, (i) “Qualifying Trading Day” with respect to a series of Warrants means any VWAP Trading Day on which the Daily VWAP (as defined in the warrant agreement) is at least equal to the Early Expiration Trigger Price for such series of Warrants in effect on such VWAP Trading Day, (ii) the “Series K Early Expiration Trigger Price” is initially equal to $10.80, subject to certain adjustments described below, (iii) the “Series A Early Expiration Trigger Price” is initially equal to $15.60, subject to certain adjustments described below, (iv) the “Series Z Early Expiration Trigger Price” is initially equal to $20.40, subject to certain adjustments described below, and (v) the “Early Expiration Date” with respect to a series of Warrants means either (x) the first Scheduled Trading Day (or, if a Net Exercise Period is in effect for such series of Warrants, the second Scheduled Trading Day) immediately following the Early Expiration Price Condition Date for such series of Warrants or (y) if applicable, the Alternate Expiration Date for such series of Warrants set as described below.</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In the event of an early expiration of a series of Warrants, the Warrants of such series will be exercisable until 5:00 p.m. New York City time on such Early Expiration Date.</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If the Early Expiration Price Condition Date occurs with respect to a series of Warrants, we will make a public announcement of such occurrence by issuance of a press release (an “Early Expiration Price Condition Notice”) as promptly as practicable after close of the regular trading session of Nasdaq (disregarding any after-hours trading) on the Early Expiration Price Condition Date for such series of Warrants setting forth the Early Expiration Date for such series of Warrants, which may be an Alternate Expiration Date for such series of Warrants as set forth below. In addition, in the event that a Market Disruption Event (as defined in the warrant agreement) occurs on such first Scheduled Trading Day (or, if a Net Exercise Period is in effect for such series of Warrants, the first or second Scheduled Trading Day) immediately following the Early Expiration Price Condition Date for such series of Warrants, then we may set an Alternate Expiration Date for such series of Warrant whether or not we made a public announcement to reserve our right to set an Alternate Expiration Date.</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We may, in our sole discretion, elect to set the Early Expiration Date for a series of Warrants on any Scheduled Trading Day falling at any time after the first Scheduled Trading Day (or, if a Net Exercise Period is in effect for such series of Warrants, the second Scheduled Trading Day) immediately following the Early Expiration Price Condition Date for such series of Warrants (such date, an “Alternate Expiration Date” for such series of Warrants).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200"/>
        <w:jc w:val="both"/>
        <w:rPr>
          <w:rFonts w:ascii="Times New Roman;serif" w:hAnsi="Times New Roman;serif"/>
          <w:b w:val="false"/>
          <w:color w:val="000000"/>
          <w:sz w:val="20"/>
        </w:rPr>
      </w:pPr>
      <w:r>
        <w:rPr>
          <w:rFonts w:ascii="Times New Roman;serif" w:hAnsi="Times New Roman;serif"/>
          <w:b w:val="false"/>
          <w:color w:val="000000"/>
          <w:sz w:val="20"/>
        </w:rPr>
        <w:t>Alternate Expiration Date shall be specified in the Early Expiration Price Condition Notice for such series of Warrants. In order to set an Alternate Expiration Date, we will be required to, no later than the 5th Qualifying Trading Day for a series of Warrants (whether or not consecutive) occurring in any 20 consecutive VWAP Trading Day period, make a public announcement by issuance of a press release that we are reserving the right to set an Alternate Expiration Date in the event the Early Expiration Price Condition for such series of Warrants does occur. For the avoidance of doubt, such election by us to set an Alternate Expiration Date for a series of Warrants shall be deemed effective irrespective of whether the 20 consecutive VWAP Trading Day period referred to in the immediately preceding sentence overlaps or not in any part with the Reference Period that ended on the Early Expiration Condition Date for such series of Warrants.</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If we set an Alternate Expiration Date for a series of Warrants, the expiration of such series of Warrants on such Alternate Expiration Date shall be conditioned on (x) each of the two Scheduled Trading Days immediately preceding such Alternate Expiration Date being a VWAP Trading Day and (y) the Daily VWAP on each of such two VWAP Trading Days immediately preceding such Alternate Expiration Date being at least equal to the quotient obtained by dividing the Warrant Exercise Price for such series of Warrants by the Warrant Exercise Rate for such series of Warrants (the “Additional Alternate Expiration Date Conditions” for such series of Warrants in respect of such Alternate Expiration Date). As promptly as practicable after close of the regular trading session of Nasdaq (disregarding any after-hours trading) on the Scheduled Trading Day immediately preceding the Alternate Expiration Date for a series of Warrants, we will make a public announcement by issuance of a press release as to whether the Additional Alternate Expiration Date Conditions for such series of Warrants is met. We may, in our sole discretion, by making a public announcement by issuance of a press release, postpone further (on one or more occasions) such Alternate Expiration Date for such series of Warrants to a new Alternate Expiration Date (which, for the avoidance of doubt, shall be conditional to the Additional Alternate Expiration Date Conditions for such series of Warrants in respect of the Alternate Expiration Date so postponed).</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If the Additional Alternate Expiration Date Conditions for a series of Warrants are not satisfied in respect of any Alternate Expiration Date for such series of Warrants and we do not postpone such Alternate Expiration Date for such series of Warrants as described in the immediately preceding paragraph (an “Alternate Expiration Date Annulment” in respect of such Alternate Expiration Date), the Expiration Date for such series of Warrants will remain the Scheduled Expiration Date unless another Early Expiration Price Condition Date subsequently occurs for such series of Warrants.</w:t>
      </w:r>
    </w:p>
    <w:p>
      <w:pPr>
        <w:pStyle w:val="TextBody"/>
        <w:bidi w:val="0"/>
        <w:spacing w:lineRule="auto" w:line="333" w:before="0" w:after="200"/>
        <w:ind w:left="0" w:right="0" w:firstLine="400"/>
        <w:jc w:val="both"/>
        <w:rPr>
          <w:rFonts w:ascii="Times New Roman;serif" w:hAnsi="Times New Roman;serif"/>
          <w:b w:val="false"/>
          <w:i/>
          <w:color w:val="000000"/>
          <w:sz w:val="20"/>
        </w:rPr>
      </w:pPr>
      <w:r>
        <w:rPr>
          <w:rFonts w:ascii="Times New Roman;serif" w:hAnsi="Times New Roman;serif"/>
          <w:b w:val="false"/>
          <w:i/>
          <w:color w:val="000000"/>
          <w:sz w:val="20"/>
        </w:rPr>
        <w:t>Warrant Exercise Rate Adjustments</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The Warrant Exercise Rate for each series of Warrants is subject to certain adjustments for events pursuant to the warrant agreement, including: (i) stock dividends, splits, subdivisions, reclassifications and combinations; (ii) rights issues, (iii) other distributions and spin-offs; (iv) cash dividends or distributions; and (v) shareholder rights plans. In addition, the Warrant Exercise Rate may be voluntarily increased by us from time to time. The Early Expiration Trigger Price for each series of Warrants is subject to proportional adjustment when the Warrant Exercise Rate for such series of Warrants is adjusted or amended or the Warrant Exercise Price for such series of Warrants is amended.</w:t>
      </w:r>
    </w:p>
    <w:p>
      <w:pPr>
        <w:pStyle w:val="TextBody"/>
        <w:bidi w:val="0"/>
        <w:spacing w:lineRule="auto" w:line="333" w:before="0" w:after="200"/>
        <w:ind w:left="0" w:right="0" w:firstLine="400"/>
        <w:jc w:val="both"/>
        <w:rPr>
          <w:rFonts w:ascii="Times New Roman;serif" w:hAnsi="Times New Roman;serif"/>
          <w:b w:val="false"/>
          <w:i/>
          <w:color w:val="000000"/>
          <w:sz w:val="20"/>
        </w:rPr>
      </w:pPr>
      <w:r>
        <w:rPr>
          <w:rFonts w:ascii="Times New Roman;serif" w:hAnsi="Times New Roman;serif"/>
          <w:b w:val="false"/>
          <w:i/>
          <w:color w:val="000000"/>
          <w:sz w:val="20"/>
        </w:rPr>
        <w:t>Maintenance of Registration Statement</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We will use our commercially reasonable efforts to keep a registration statement effective, subject to certain exceptions, covering the issuance of our common stock issuable upon the exercise of the Warrants. If the registration statement ceases to be effective for any reason at any time, then the right to exercise Warrants shall (unless there is a Net Exercise Period in effect for such series of Warrants) be automatically suspended until such registration statement becomes effective (any such period, an “Exercise Suspension Period”). We shall provide notice by press release of any Exercise Suspension Period for any series of Warrants. No calculation of the Daily VWAP for purposes of determining the Early Expiration Price Condition for any series of Warrants shall occur during any Exercise Suspension Period for such series of Warrants. If the Expiration Date for such series of Warrants would otherwise fall in an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200"/>
        <w:jc w:val="both"/>
        <w:rPr>
          <w:rFonts w:ascii="Times New Roman;serif" w:hAnsi="Times New Roman;serif"/>
          <w:b w:val="false"/>
          <w:color w:val="000000"/>
          <w:sz w:val="20"/>
        </w:rPr>
      </w:pPr>
      <w:r>
        <w:rPr>
          <w:rFonts w:ascii="Times New Roman;serif" w:hAnsi="Times New Roman;serif"/>
          <w:b w:val="false"/>
          <w:color w:val="000000"/>
          <w:sz w:val="20"/>
        </w:rPr>
        <w:t>Suspension Period, the Expiration Date for such series of Warrants shall be extended by the number of days comprised in such Exercise Suspension Period for such series of Warrants.</w:t>
      </w:r>
    </w:p>
    <w:p>
      <w:pPr>
        <w:pStyle w:val="TextBody"/>
        <w:bidi w:val="0"/>
        <w:spacing w:lineRule="auto" w:line="333" w:before="0" w:after="200"/>
        <w:ind w:left="0" w:right="0" w:firstLine="400"/>
        <w:jc w:val="both"/>
        <w:rPr>
          <w:rFonts w:ascii="Times New Roman;serif" w:hAnsi="Times New Roman;serif"/>
          <w:b w:val="false"/>
          <w:i/>
          <w:color w:val="000000"/>
          <w:sz w:val="20"/>
        </w:rPr>
      </w:pPr>
      <w:r>
        <w:rPr>
          <w:rFonts w:ascii="Times New Roman;serif" w:hAnsi="Times New Roman;serif"/>
          <w:b w:val="false"/>
          <w:i/>
          <w:color w:val="000000"/>
          <w:sz w:val="20"/>
        </w:rPr>
        <w:t>Issuer Option to Change Exercise Method to Net Exercise</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We may, in our sole discretion, (i) at any time upon at least 10 calendar days’ prior notice or (ii) at any time during an Exercise Suspension Period upon one Trading Day’s (as defined in the warrant agreement) notice, elect to change the exercise method for any series of Warrants to net exercise as described herein. Subsequent to such change of exercise method to net exercise, we may, in our sole discretion, at any time upon at least 10 calendar days’ prior notice, change such exercise method back to cash exercise to be effected as described herein. We shall be deemed to have provided any such notice by issuance of a press release of any such election, which shall be deemed to be effective on the Business Day so designated by us in such notice (which, for the avoidance of doubt, must be no earlier than 10 days or 1 Trading Day, as applicable, after such date of such announcement as provided in the immediately preceding sentence). “Net Exercise Period” means with respect to any series of Warrants, any period beginning on, the first Business Day on which our election to change the exercise method of such series of Warrants to net exercise is deemed effective as described in this paragraph, and ending on, the Business Day immediately preceding the first Business Day on which our election to change the exercise method for such series of Warrants to cash exercise is deemed effective as described in this paragraph.</w:t>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If any Warrant is exercised during a Net Exercise Period, a holder of such series of Warrants will not be required to pay the Warrant Exercise Price to exercise such series of Warrants and the number of shares of our common stock issuable for such exercise shall be calculated based on the following formula:</w:t>
      </w:r>
    </w:p>
    <w:tbl>
      <w:tblPr>
        <w:tblW w:w="3866" w:type="dxa"/>
        <w:jc w:val="left"/>
        <w:tblInd w:w="0" w:type="dxa"/>
        <w:tblLayout w:type="fixed"/>
        <w:tblCellMar>
          <w:top w:w="28" w:type="dxa"/>
          <w:left w:w="28" w:type="dxa"/>
          <w:bottom w:w="28" w:type="dxa"/>
          <w:right w:w="28" w:type="dxa"/>
        </w:tblCellMar>
      </w:tblPr>
      <w:tblGrid>
        <w:gridCol w:w="124"/>
        <w:gridCol w:w="109"/>
        <w:gridCol w:w="109"/>
        <w:gridCol w:w="1032"/>
        <w:gridCol w:w="1032"/>
        <w:gridCol w:w="1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4"/>
              </w:rPr>
              <w:t>VWAP – SP</w:t>
            </w:r>
          </w:p>
          <w:p>
            <w:pPr>
              <w:pStyle w:val="TableContents"/>
              <w:bidi w:val="0"/>
              <w:spacing w:lineRule="auto" w:line="240" w:before="0" w:after="0"/>
              <w:jc w:val="center"/>
              <w:rPr/>
            </w:pPr>
            <w:r>
              <w:rPr>
                <w:rFonts w:ascii="Times New Roman;serif" w:hAnsi="Times New Roman;serif"/>
                <w:b w:val="false"/>
                <w:i/>
                <w:color w:val="000000"/>
                <w:sz w:val="24"/>
              </w:rPr>
              <w:t xml:space="preserve">WS = NW </w:t>
            </w:r>
            <w:r>
              <w:rPr>
                <w:rFonts w:ascii="Times New Roman;serif" w:hAnsi="Times New Roman;serif"/>
                <w:b w:val="false"/>
                <w:color w:val="000000"/>
                <w:sz w:val="24"/>
              </w:rPr>
              <w:t xml:space="preserve">x </w:t>
            </w:r>
            <w:r>
              <w:rPr>
                <w:rFonts w:ascii="Times New Roman;serif" w:hAnsi="Times New Roman;serif"/>
                <w:b w:val="false"/>
                <w:i/>
                <w:color w:val="000000"/>
                <w:sz w:val="24"/>
              </w:rPr>
              <w:t xml:space="preserve">WER </w:t>
            </w:r>
            <w:r>
              <w:rPr>
                <w:rFonts w:ascii="Times New Roman;serif" w:hAnsi="Times New Roman;serif"/>
                <w:b w:val="false"/>
                <w:color w:val="000000"/>
                <w:sz w:val="24"/>
              </w:rPr>
              <w:t xml:space="preserve">x </w:t>
            </w:r>
            <w:r>
              <w:rPr>
                <w:rFonts w:ascii="Times New Roman;serif" w:hAnsi="Times New Roman;serif"/>
                <w:b w:val="false"/>
                <w:i/>
                <w:color w:val="000000"/>
                <w:sz w:val="24"/>
              </w:rPr>
              <w:t>____________</w:t>
            </w:r>
          </w:p>
          <w:p>
            <w:pPr>
              <w:pStyle w:val="TableContents"/>
              <w:bidi w:val="0"/>
              <w:spacing w:before="0" w:after="0"/>
              <w:jc w:val="center"/>
              <w:rPr/>
            </w:pPr>
            <w:r>
              <w:rPr/>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4"/>
              </w:rPr>
              <w:t>VWAP</w:t>
            </w:r>
          </w:p>
        </w:tc>
      </w:tr>
    </w:tbl>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Where:</w:t>
      </w:r>
    </w:p>
    <w:tbl>
      <w:tblPr>
        <w:tblW w:w="10205" w:type="dxa"/>
        <w:jc w:val="left"/>
        <w:tblInd w:w="0" w:type="dxa"/>
        <w:tblLayout w:type="fixed"/>
        <w:tblCellMar>
          <w:top w:w="28" w:type="dxa"/>
          <w:left w:w="28" w:type="dxa"/>
          <w:bottom w:w="28" w:type="dxa"/>
          <w:right w:w="28" w:type="dxa"/>
        </w:tblCellMar>
      </w:tblPr>
      <w:tblGrid>
        <w:gridCol w:w="230"/>
        <w:gridCol w:w="203"/>
        <w:gridCol w:w="213"/>
        <w:gridCol w:w="109"/>
        <w:gridCol w:w="109"/>
        <w:gridCol w:w="109"/>
        <w:gridCol w:w="2818"/>
        <w:gridCol w:w="2645"/>
        <w:gridCol w:w="3769"/>
      </w:tblGrid>
      <w:tr>
        <w:trPr/>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our common stock issuable for such exercise;</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number of Warrants of such series exercised;</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Warrant Exercise Rate for such series of Warrants in effect immediately prior to the close of business on the relevant Exercise Date;</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VWAP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Daily VWAP for the VWAP Trading Day immediately preceding the relevant Exercise Date (subject to any adjustment provided in the Warrant Agreement in the event of an adjustment to the applicable Warrant Exercise Rate); and</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Warrant Exercise Price for such series of Warrants </w:t>
            </w:r>
            <w:r>
              <w:rPr>
                <w:rFonts w:ascii="Times New Roman;serif" w:hAnsi="Times New Roman;serif"/>
                <w:b w:val="false"/>
                <w:i/>
                <w:color w:val="000000"/>
                <w:sz w:val="20"/>
              </w:rPr>
              <w:t xml:space="preserve">divided by </w:t>
            </w:r>
            <w:r>
              <w:rPr>
                <w:rFonts w:ascii="Times New Roman;serif" w:hAnsi="Times New Roman;serif"/>
                <w:b w:val="false"/>
                <w:color w:val="000000"/>
                <w:sz w:val="20"/>
              </w:rPr>
              <w:t>the Warrant Exercise Rate for such series of Warrants, in each case in effect immediately prior to the close of business on the relevant Exercise Date.</w:t>
            </w:r>
          </w:p>
        </w:tc>
      </w:tr>
    </w:tbl>
    <w:p>
      <w:pPr>
        <w:pStyle w:val="TextBody"/>
        <w:bidi w:val="0"/>
        <w:spacing w:before="0" w:after="0"/>
        <w:jc w:val="left"/>
        <w:rPr/>
      </w:pPr>
      <w:r>
        <w:rPr/>
      </w:r>
    </w:p>
    <w:p>
      <w:pPr>
        <w:pStyle w:val="TextBody"/>
        <w:bidi w:val="0"/>
        <w:spacing w:lineRule="auto" w:line="333" w:before="0" w:after="20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If the formula set forth above would result in zero or a negative number with respect to the exercise of any Warrant, no shares of our common stock will be issued upon exercise of such Warrant and the Warrant will cease to be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200"/>
        <w:ind w:left="0" w:right="0" w:firstLine="403"/>
        <w:jc w:val="both"/>
        <w:rPr>
          <w:rFonts w:ascii="Times New Roman;serif" w:hAnsi="Times New Roman;serif"/>
          <w:b w:val="false"/>
          <w:i/>
          <w:color w:val="000000"/>
          <w:sz w:val="20"/>
        </w:rPr>
      </w:pPr>
      <w:r>
        <w:rPr>
          <w:rFonts w:ascii="Times New Roman;serif" w:hAnsi="Times New Roman;serif"/>
          <w:b w:val="false"/>
          <w:i/>
          <w:color w:val="000000"/>
          <w:sz w:val="20"/>
        </w:rPr>
        <w:t>Rights as a Stockholder</w:t>
      </w:r>
    </w:p>
    <w:p>
      <w:pPr>
        <w:pStyle w:val="TextBody"/>
        <w:bidi w:val="0"/>
        <w:spacing w:lineRule="auto" w:line="333" w:before="0" w:after="200"/>
        <w:ind w:left="0" w:right="0" w:firstLine="403"/>
        <w:jc w:val="both"/>
        <w:rPr>
          <w:rFonts w:ascii="Times New Roman;serif" w:hAnsi="Times New Roman;serif"/>
          <w:b w:val="false"/>
          <w:color w:val="000000"/>
          <w:sz w:val="20"/>
        </w:rPr>
      </w:pPr>
      <w:r>
        <w:rPr>
          <w:rFonts w:ascii="Times New Roman;serif" w:hAnsi="Times New Roman;serif"/>
          <w:b w:val="false"/>
          <w:color w:val="000000"/>
          <w:sz w:val="20"/>
        </w:rPr>
        <w:t>Holders of Warrants do not have any rights as a stockholder with respect to the shares of our common stock issuable upon exercise of the Warrants prior to the time such Warrants are validly exercised, and the Warrant Exercise Price is paid (unless net exercise applies).</w:t>
      </w:r>
    </w:p>
    <w:p>
      <w:pPr>
        <w:pStyle w:val="TextBody"/>
        <w:bidi w:val="0"/>
        <w:spacing w:lineRule="auto" w:line="333" w:before="0" w:after="200"/>
        <w:ind w:left="0" w:right="0" w:firstLine="403"/>
        <w:jc w:val="both"/>
        <w:rPr>
          <w:rFonts w:ascii="Times New Roman;serif" w:hAnsi="Times New Roman;serif"/>
          <w:b w:val="false"/>
          <w:i/>
          <w:color w:val="000000"/>
          <w:sz w:val="20"/>
        </w:rPr>
      </w:pPr>
      <w:r>
        <w:rPr>
          <w:rFonts w:ascii="Times New Roman;serif" w:hAnsi="Times New Roman;serif"/>
          <w:b w:val="false"/>
          <w:i/>
          <w:color w:val="000000"/>
          <w:sz w:val="20"/>
        </w:rPr>
        <w:t>Warrant Agent and Calculation Agent</w:t>
      </w:r>
    </w:p>
    <w:p>
      <w:pPr>
        <w:pStyle w:val="TextBody"/>
        <w:bidi w:val="0"/>
        <w:spacing w:lineRule="auto" w:line="333" w:before="0" w:after="200"/>
        <w:ind w:left="0" w:right="0" w:firstLine="403"/>
        <w:jc w:val="both"/>
        <w:rPr>
          <w:rFonts w:ascii="Times New Roman;serif" w:hAnsi="Times New Roman;serif"/>
          <w:b w:val="false"/>
          <w:color w:val="000000"/>
          <w:sz w:val="20"/>
        </w:rPr>
      </w:pPr>
      <w:r>
        <w:rPr>
          <w:rFonts w:ascii="Times New Roman;serif" w:hAnsi="Times New Roman;serif"/>
          <w:b w:val="false"/>
          <w:color w:val="000000"/>
          <w:sz w:val="20"/>
        </w:rPr>
        <w:t>The Warrant Agent for the Warrants is Equiniti Trust Company, LLC and the Calculation Agent for the Warrants is ConvEx Capital Markets LLC.</w:t>
      </w:r>
    </w:p>
    <w:p>
      <w:pPr>
        <w:pStyle w:val="TextBody"/>
        <w:bidi w:val="0"/>
        <w:spacing w:lineRule="auto" w:line="333" w:before="0" w:after="200"/>
        <w:ind w:left="0" w:right="0" w:firstLine="400"/>
        <w:jc w:val="both"/>
        <w:rPr>
          <w:rFonts w:ascii="Times New Roman;serif" w:hAnsi="Times New Roman;serif"/>
          <w:b w:val="false"/>
          <w:i/>
          <w:color w:val="000000"/>
          <w:sz w:val="20"/>
        </w:rPr>
      </w:pPr>
      <w:r>
        <w:rPr>
          <w:rFonts w:ascii="Times New Roman;serif" w:hAnsi="Times New Roman;serif"/>
          <w:b w:val="false"/>
          <w:i/>
          <w:color w:val="000000"/>
          <w:sz w:val="20"/>
        </w:rPr>
        <w:t>Warrant Agreement and Amendments</w:t>
      </w:r>
    </w:p>
    <w:p>
      <w:pPr>
        <w:pStyle w:val="TextBody"/>
        <w:bidi w:val="0"/>
        <w:spacing w:lineRule="auto" w:line="333" w:before="0" w:after="200"/>
        <w:ind w:left="0" w:right="0" w:firstLine="400"/>
        <w:jc w:val="both"/>
        <w:rPr/>
      </w:pPr>
      <w:r>
        <w:rPr>
          <w:rFonts w:ascii="Times New Roman;serif" w:hAnsi="Times New Roman;serif"/>
          <w:b w:val="false"/>
          <w:color w:val="000000"/>
          <w:sz w:val="20"/>
        </w:rPr>
        <w:t xml:space="preserve">The Warrants are issued in registered form under the warrant agreement. </w:t>
      </w:r>
      <w:r>
        <w:rPr>
          <w:rFonts w:ascii="Times New Roman;serif" w:hAnsi="Times New Roman;serif"/>
          <w:b w:val="false"/>
          <w:color w:val="000000"/>
          <w:sz w:val="20"/>
          <w:u w:val="single"/>
        </w:rPr>
        <w:t xml:space="preserve">You should review a copy of the </w:t>
      </w:r>
      <w:r>
        <w:rPr>
          <w:rFonts w:ascii="Times New Roman;serif" w:hAnsi="Times New Roman;serif"/>
          <w:b w:val="false"/>
          <w:color w:val="000000"/>
          <w:sz w:val="20"/>
        </w:rPr>
        <w:t>warrant agreement, which is included as an exhibit to our Annual Report on Form 10-K, for a description of the terms and conditions applicable to the Warrants. The warrant agreement may be amended without the consent of any warrant holder to cure any ambiguity, omission, defect or inconsistency, to provide for the assumption by a successor company in any Share Exchange Event (as defined in the warrant agreement), to extend the Expiration Date for any series of Warrants, to increase the Warrant Exercise Rate or decrease the Warrant Exercise Price for any series of Warrants, to provide for net share settlement upon exercise of any series of Warrants in a manner other than as provided in “—Issuer Option to Change Exercise Method to Net Exercise” above, to make any change that does not adversely affect the rights of any warrant holder in any material respect, to provide for a successor Warrant Agent or Calculation Agent, in connection with any Share Exchange Event, to provide that Warrants are exercisable for units of reference property, to conform the provisions of the warrant agreement or the certificates for the Warrant to the “Description of the Warrants” section of the prospectus supplement relating to the issuance and sale of shares of our common stock upon exercise of the Warrants or to provide for or confirm the issuance of additional Warrants as provided in the warrant agreement. With the written consent of the holders of a majority of the then outstanding Warrants of any series, we may from time to time amend the warrant agreement and/or the certificates for such series of Warrants in a manner that has a material adverse effect on the interests of the holders of such series of Warrants. Notwithstanding the foregoing, in the event that any amendment would have a material adverse effect on the interests of the holders of all series of Warrants in the same manner, then such amendment shall require the written consent of the holders of a majority of the then outstanding Warrants of all series, voting as a single class.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10.14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Opendoor Technologies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Non-Employee Director Compensation Policy</w:t>
      </w:r>
    </w:p>
    <w:tbl>
      <w:tblPr>
        <w:tblW w:w="3435" w:type="dxa"/>
        <w:jc w:val="left"/>
        <w:tblInd w:w="0" w:type="dxa"/>
        <w:tblLayout w:type="fixed"/>
        <w:tblCellMar>
          <w:top w:w="28" w:type="dxa"/>
          <w:left w:w="28" w:type="dxa"/>
          <w:bottom w:w="28" w:type="dxa"/>
          <w:right w:w="28" w:type="dxa"/>
        </w:tblCellMar>
      </w:tblPr>
      <w:tblGrid>
        <w:gridCol w:w="1099"/>
        <w:gridCol w:w="966"/>
        <w:gridCol w:w="1370"/>
      </w:tblGrid>
      <w:tr>
        <w:trPr/>
        <w:tc>
          <w:tcPr>
            <w:tcW w:w="109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Amended, November 20, 2025</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Each member of 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of Opendoor Technologies Inc. (“</w:t>
      </w:r>
      <w:r>
        <w:rPr>
          <w:rFonts w:ascii="Times New Roman;serif" w:hAnsi="Times New Roman;serif"/>
          <w:b/>
          <w:i/>
          <w:color w:val="000000"/>
          <w:sz w:val="22"/>
        </w:rPr>
        <w:t>Opendoor</w:t>
      </w:r>
      <w:r>
        <w:rPr>
          <w:color w:val="000000"/>
        </w:rPr>
        <w:t>”</w:t>
      </w:r>
      <w:r>
        <w:rPr>
          <w:rFonts w:ascii="Times New Roman;serif" w:hAnsi="Times New Roman;serif"/>
          <w:b w:val="false"/>
          <w:color w:val="000000"/>
          <w:sz w:val="22"/>
        </w:rPr>
        <w:t>) who is a non-employee director of Opendoor (each such member, a “</w:t>
      </w:r>
      <w:r>
        <w:rPr>
          <w:rFonts w:ascii="Times New Roman;serif" w:hAnsi="Times New Roman;serif"/>
          <w:b/>
          <w:i/>
          <w:color w:val="000000"/>
          <w:sz w:val="22"/>
        </w:rPr>
        <w:t>Non-Employee Director</w:t>
      </w:r>
      <w:r>
        <w:rPr>
          <w:color w:val="000000"/>
        </w:rPr>
        <w:t>”</w:t>
      </w:r>
      <w:r>
        <w:rPr>
          <w:rFonts w:ascii="Times New Roman;serif" w:hAnsi="Times New Roman;serif"/>
          <w:b w:val="false"/>
          <w:color w:val="000000"/>
          <w:sz w:val="22"/>
        </w:rPr>
        <w:t>) will receive the compensation described in this Non-Employee Director Compensation Policy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xml:space="preserve">) for his or her Board service. This Policy may be amended at any time in the sole discretion of the Board. A Non-Employee Director may decline all or any portion of his or her compensation by giving written notice to Opendoor prior to the date cash is to be paid or equity awards are to be granted, as the case may be.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1.Annual Cash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rPr>
        <w:t>General</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Each Non-Employee Director will receive the cash compensation set forth below for service on the Board. The annual cash compensation amounts will be payable in equal quarterly installments, in arrears, promptly following the end of each quarter in which the service occurred, provided that the quarterly payment for each Non-Employee Director will be pro-rated for the portion of such calendar quarter actually served as a Non-Employee Director, or in such position, as applicable. All annual cash fees are vested upon payment. </w:t>
      </w:r>
    </w:p>
    <w:p>
      <w:pPr>
        <w:pStyle w:val="TextBody"/>
        <w:bidi w:val="0"/>
        <w:spacing w:lineRule="auto" w:line="288" w:before="0" w:after="240"/>
        <w:ind w:left="0" w:right="0" w:hanging="720"/>
        <w:jc w:val="both"/>
        <w:rPr/>
      </w:pPr>
      <w:r>
        <w:rPr>
          <w:rFonts w:ascii="Times New Roman;serif" w:hAnsi="Times New Roman;serif"/>
          <w:b w:val="false"/>
          <w:color w:val="000000"/>
          <w:sz w:val="22"/>
        </w:rPr>
        <w:t>1.1.1</w:t>
      </w:r>
      <w:r>
        <w:rPr>
          <w:rFonts w:ascii="Times New Roman;serif" w:hAnsi="Times New Roman;serif"/>
          <w:b/>
          <w:color w:val="000000"/>
          <w:sz w:val="22"/>
        </w:rPr>
        <w:t>Annual Board Service Retainer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Eligible Directors: $50,000</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Non-executive Chair/Lead Independent Director (as applicable): $75,000 (in lieu of above) </w:t>
      </w:r>
    </w:p>
    <w:p>
      <w:pPr>
        <w:pStyle w:val="TextBody"/>
        <w:bidi w:val="0"/>
        <w:spacing w:lineRule="auto" w:line="288" w:before="0" w:after="240"/>
        <w:ind w:left="0" w:right="0" w:hanging="720"/>
        <w:jc w:val="both"/>
        <w:rPr/>
      </w:pPr>
      <w:r>
        <w:rPr>
          <w:rFonts w:ascii="Times New Roman;serif" w:hAnsi="Times New Roman;serif"/>
          <w:b w:val="false"/>
          <w:color w:val="000000"/>
          <w:sz w:val="22"/>
        </w:rPr>
        <w:t>1.1.2</w:t>
      </w:r>
      <w:r>
        <w:rPr>
          <w:rFonts w:ascii="Times New Roman;serif" w:hAnsi="Times New Roman;serif"/>
          <w:b/>
          <w:color w:val="000000"/>
          <w:sz w:val="22"/>
        </w:rPr>
        <w:t>Annual Committee Member Service Retainer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Member of the Audit and Risk Committee: $10,000</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Member of the Compensation Committee: $7,500</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Member of the Nominating and Corporate Governance Committee: $5,000</w:t>
      </w:r>
    </w:p>
    <w:p>
      <w:pPr>
        <w:pStyle w:val="TextBody"/>
        <w:bidi w:val="0"/>
        <w:spacing w:lineRule="auto" w:line="288" w:before="0" w:after="240"/>
        <w:ind w:left="0" w:right="0" w:hanging="720"/>
        <w:jc w:val="both"/>
        <w:rPr/>
      </w:pPr>
      <w:r>
        <w:rPr>
          <w:rFonts w:ascii="Times New Roman;serif" w:hAnsi="Times New Roman;serif"/>
          <w:b w:val="false"/>
          <w:color w:val="000000"/>
          <w:sz w:val="22"/>
        </w:rPr>
        <w:t>1.1.3</w:t>
      </w:r>
      <w:r>
        <w:rPr>
          <w:rFonts w:ascii="Times New Roman;serif" w:hAnsi="Times New Roman;serif"/>
          <w:b/>
          <w:color w:val="000000"/>
          <w:sz w:val="22"/>
        </w:rPr>
        <w:t>Annual Committee Chair Service Retainer (in lieu of Committee Member Service Retainer)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Chair of the Audit and Risk Committee: $20,000</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Chair of the Compensation Committee: $15,000</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Chair of the Nominating and Corporate Governance Committee: $10,000</w:t>
      </w:r>
    </w:p>
    <w:p>
      <w:pPr>
        <w:pStyle w:val="TextBody"/>
        <w:bidi w:val="0"/>
        <w:spacing w:lineRule="auto" w:line="288" w:before="0" w:after="240"/>
        <w:ind w:left="0" w:right="0" w:firstLine="720"/>
        <w:jc w:val="both"/>
        <w:rPr/>
      </w:pPr>
      <w:r>
        <w:rPr>
          <w:rFonts w:ascii="Times New Roman;serif" w:hAnsi="Times New Roman;serif"/>
          <w:b w:val="false"/>
          <w:color w:val="000000"/>
          <w:sz w:val="22"/>
        </w:rPr>
        <w:t>1.2</w:t>
      </w:r>
      <w:r>
        <w:rPr>
          <w:rFonts w:ascii="Times New Roman;serif" w:hAnsi="Times New Roman;serif"/>
          <w:b/>
          <w:color w:val="000000"/>
          <w:sz w:val="22"/>
        </w:rPr>
        <w:t>Ability to Take Cash Compensation as RSUs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1.2.1</w:t>
      </w:r>
      <w:r>
        <w:rPr>
          <w:rFonts w:ascii="Times New Roman;serif" w:hAnsi="Times New Roman;serif"/>
          <w:b/>
          <w:color w:val="000000"/>
          <w:sz w:val="22"/>
        </w:rPr>
        <w:t>Election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Prior to the start of each fiscal year, a Non-Employee Director may elect to receive 100% of the annual cash compensation set forth herein for that next fiscal year as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under Opendoor’s 2020 Incentive Award Plan or any successor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xml:space="preserve">) for that number of shares equal to (a) the projected annual cash compensation for such Non-Employee Director for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 fiscal year based on Board and committee membership as of the first day of such fiscal year divided by (b) the Optional RSU Grant Share Price (as defined in Section 2), rounded to the nearest whole share. Any such RSU grant is referred to herein as the “</w:t>
      </w:r>
      <w:r>
        <w:rPr>
          <w:rFonts w:ascii="Times New Roman;serif" w:hAnsi="Times New Roman;serif"/>
          <w:b/>
          <w:i/>
          <w:color w:val="000000"/>
          <w:sz w:val="22"/>
        </w:rPr>
        <w:t>Optional RSU Grant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1.2.2</w:t>
      </w:r>
      <w:r>
        <w:rPr>
          <w:rFonts w:ascii="Times New Roman;serif" w:hAnsi="Times New Roman;serif"/>
          <w:b/>
          <w:color w:val="000000"/>
          <w:sz w:val="22"/>
        </w:rPr>
        <w:t>Grant Date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grant date for an Optional RSU Grant will be on or about February 15 first occurring after the start of the applicable fiscal year.</w:t>
      </w:r>
    </w:p>
    <w:p>
      <w:pPr>
        <w:pStyle w:val="TextBody"/>
        <w:bidi w:val="0"/>
        <w:spacing w:lineRule="auto" w:line="288" w:before="0" w:after="240"/>
        <w:ind w:left="0" w:right="0" w:firstLine="1440"/>
        <w:jc w:val="both"/>
        <w:rPr/>
      </w:pPr>
      <w:r>
        <w:rPr>
          <w:rFonts w:ascii="Times New Roman;serif" w:hAnsi="Times New Roman;serif"/>
          <w:b w:val="false"/>
          <w:color w:val="000000"/>
          <w:sz w:val="22"/>
        </w:rPr>
        <w:t>1.2.3</w:t>
      </w:r>
      <w:r>
        <w:rPr>
          <w:rFonts w:ascii="Times New Roman;serif" w:hAnsi="Times New Roman;serif"/>
          <w:b/>
          <w:color w:val="000000"/>
          <w:sz w:val="22"/>
        </w:rPr>
        <w:t>Vesting</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Unless otherwise determined by the Compensation Committee, each Optional RSU Grant will vest with respect to 1/4th of the total number of units on the last trading day in each fiscal quarter occurring during such fiscal year, provided in each case that the Non-Employee Director remains a Non-Employee Director on such vesting date. Such vested shares to be delivered in connection with the Optional RSU Grant will be settled on or about the 15th day of the month immediately following the conclusion of each fiscal quarter. Optional RSU Grants will not be subject to accelerated vesting in connection with a Change in Control (as defined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1.2.4</w:t>
      </w:r>
      <w:r>
        <w:rPr>
          <w:rFonts w:ascii="Times New Roman;serif" w:hAnsi="Times New Roman;serif"/>
          <w:b/>
          <w:color w:val="000000"/>
          <w:sz w:val="22"/>
        </w:rPr>
        <w:t>Changes in Cash Compensation Amount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In the event a Non-Employee Director would have otherwise been entitled to a greater annual cash compensation amount than that which was used to calculate the Optional RSU Grant (either as a result of an increase in the cash compensation amounts approved by the Board or a new committee membership or role), such Non-Employee Director will be entitled to receive the difference paid in cash pursuant to the terms above. In the event a Non-Employee Director would have otherwise been entitled to a lesser amount of cash compensation than that which was used to calculate the Optional RSU Grant as a result of a decrease in the cash compensation amounts approved by the Board or a decreased committee membership or role, there will be no effect on the Optional RSU Grant, nor will the Non-Employee Director be required to reimburse the Company for the difference.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2.Equity Compensation</w:t>
      </w:r>
    </w:p>
    <w:p>
      <w:pPr>
        <w:pStyle w:val="TextBody"/>
        <w:bidi w:val="0"/>
        <w:spacing w:lineRule="auto" w:line="288" w:before="0" w:after="240"/>
        <w:jc w:val="both"/>
        <w:rPr/>
      </w:pPr>
      <w:r>
        <w:rPr>
          <w:rFonts w:ascii="Times New Roman;serif" w:hAnsi="Times New Roman;serif"/>
          <w:b w:val="false"/>
          <w:color w:val="000000"/>
          <w:sz w:val="22"/>
        </w:rPr>
        <w:t>2.1</w:t>
      </w:r>
      <w:r>
        <w:rPr>
          <w:rFonts w:ascii="Times New Roman;serif" w:hAnsi="Times New Roman;serif"/>
          <w:b/>
          <w:color w:val="000000"/>
          <w:sz w:val="22"/>
        </w:rPr>
        <w:t>Equity Grants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2.1.1</w:t>
      </w:r>
      <w:r>
        <w:rPr>
          <w:rFonts w:ascii="Times New Roman;serif" w:hAnsi="Times New Roman;serif"/>
          <w:b/>
          <w:color w:val="000000"/>
          <w:sz w:val="22"/>
        </w:rPr>
        <w:t>Automatic Annual Grant</w:t>
      </w:r>
      <w:r>
        <w:rPr>
          <w:rFonts w:ascii="Times New Roman;serif" w:hAnsi="Times New Roman;serif"/>
          <w:b w:val="false"/>
          <w:color w:val="000000"/>
          <w:sz w:val="22"/>
        </w:rPr>
        <w:t>. Without any further action of the Board, at the close of business on the date of each annual meeting of Opendoor’s stockholders, each person who is then a Non-Employee Director will automatically be granted a RSU for that number of shares of common stock equal to $200,000 divided by the Annual Grant Share Price, rounded to the nearest whole share (the “</w:t>
      </w:r>
      <w:r>
        <w:rPr>
          <w:rFonts w:ascii="Times New Roman;serif" w:hAnsi="Times New Roman;serif"/>
          <w:b/>
          <w:i/>
          <w:color w:val="000000"/>
          <w:sz w:val="22"/>
        </w:rPr>
        <w:t>Annual Grant</w:t>
      </w:r>
      <w:r>
        <w:rPr>
          <w:color w:val="000000"/>
        </w:rPr>
        <w:t>”</w:t>
      </w:r>
      <w:r>
        <w:rPr>
          <w:rFonts w:ascii="Times New Roman;serif" w:hAnsi="Times New Roman;serif"/>
          <w:b w:val="false"/>
          <w:color w:val="000000"/>
          <w:sz w:val="22"/>
        </w:rPr>
        <w:t>). Each Annual Grant will vest in a single installment on the earlier to occur of (a) Opendoor’s next annual meeting of stockholders and (b) the first anniversary of the date of grant of the Annual Grant, provided that the Non-Employee Director continues to be a Non-Employee Director on such vesting date.</w:t>
      </w:r>
      <w:r>
        <w:rPr>
          <w:color w:val="000000"/>
        </w:rPr>
        <w:t xml:space="preserve"> </w:t>
      </w:r>
      <w:r>
        <w:rPr>
          <w:rFonts w:ascii="Times New Roman;serif" w:hAnsi="Times New Roman;serif"/>
          <w:b w:val="false"/>
          <w:color w:val="000000"/>
          <w:sz w:val="22"/>
        </w:rPr>
        <w:t xml:space="preserve">In the event a Non-Employee Director has not been serving as a member of the Board for twelve months as of the date of grant of any Annual Grant, the Board may determine to prorate the Annual Grant to such Non-Employee Director to reflect the number of months served since such initial election through the date of grant of the Annual Grant.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2.1.2</w:t>
      </w:r>
      <w:r>
        <w:rPr>
          <w:rFonts w:ascii="Times New Roman;serif" w:hAnsi="Times New Roman;serif"/>
          <w:b/>
          <w:color w:val="000000"/>
          <w:sz w:val="22"/>
        </w:rPr>
        <w:t>Vesting; Change in Control</w:t>
      </w:r>
      <w:r>
        <w:rPr>
          <w:rFonts w:ascii="Times New Roman;serif" w:hAnsi="Times New Roman;serif"/>
          <w:b w:val="false"/>
          <w:color w:val="000000"/>
          <w:sz w:val="22"/>
        </w:rPr>
        <w:t>. Notwithstanding the foregoing vesting schedules, for each Non-Employee Director in office as of immediately prior to the closing of a Change in Control, the shares subject to his or her then-outstanding equity awards that were granted pursuant to this Policy will become fully vested immediately prior to the closing of such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rPr>
        <w:t>2.1.3</w:t>
      </w:r>
      <w:r>
        <w:rPr>
          <w:rFonts w:ascii="Times New Roman;serif" w:hAnsi="Times New Roman;serif"/>
          <w:b/>
          <w:color w:val="000000"/>
          <w:sz w:val="22"/>
        </w:rPr>
        <w:t>Annual Grant Share Price</w:t>
      </w:r>
      <w:r>
        <w:rPr>
          <w:rFonts w:ascii="Times New Roman;serif" w:hAnsi="Times New Roman;serif"/>
          <w:b w:val="false"/>
          <w:color w:val="000000"/>
          <w:sz w:val="22"/>
        </w:rPr>
        <w:t>. For purposes of this Policy, the “</w:t>
      </w:r>
      <w:r>
        <w:rPr>
          <w:rFonts w:ascii="Times New Roman;serif" w:hAnsi="Times New Roman;serif"/>
          <w:b/>
          <w:i/>
          <w:color w:val="000000"/>
          <w:sz w:val="22"/>
        </w:rPr>
        <w:t>Annual Grant Share Price</w:t>
      </w:r>
      <w:r>
        <w:rPr>
          <w:color w:val="000000"/>
        </w:rPr>
        <w:t xml:space="preserve">” </w:t>
      </w:r>
      <w:r>
        <w:rPr>
          <w:rFonts w:ascii="Times New Roman;serif" w:hAnsi="Times New Roman;serif"/>
          <w:b w:val="false"/>
          <w:color w:val="000000"/>
          <w:sz w:val="22"/>
        </w:rPr>
        <w:t xml:space="preserve">shall be the greater of (a) the average Fair Market Value (as defined in the Plan) over the 20 trading days ending on the last trading day of the month preceding the month in which the RSU grant is made or (b) $2.00.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2.1.4</w:t>
      </w:r>
      <w:r>
        <w:rPr>
          <w:rFonts w:ascii="Times New Roman;serif" w:hAnsi="Times New Roman;serif"/>
          <w:b/>
          <w:color w:val="000000"/>
          <w:sz w:val="22"/>
        </w:rPr>
        <w:t>Optional RSU Grant Share Price</w:t>
      </w:r>
      <w:r>
        <w:rPr>
          <w:rFonts w:ascii="Times New Roman;serif" w:hAnsi="Times New Roman;serif"/>
          <w:b w:val="false"/>
          <w:color w:val="000000"/>
          <w:sz w:val="22"/>
        </w:rPr>
        <w:t>. For any Optional RSU Grant to be made under this Policy, the “</w:t>
      </w:r>
      <w:r>
        <w:rPr>
          <w:rFonts w:ascii="Times New Roman;serif" w:hAnsi="Times New Roman;serif"/>
          <w:b/>
          <w:i/>
          <w:color w:val="000000"/>
          <w:sz w:val="22"/>
        </w:rPr>
        <w:t>Optional RSU Grant Share Price</w:t>
      </w:r>
      <w:r>
        <w:rPr>
          <w:color w:val="000000"/>
        </w:rPr>
        <w:t xml:space="preserve">” </w:t>
      </w:r>
      <w:r>
        <w:rPr>
          <w:rFonts w:ascii="Times New Roman;serif" w:hAnsi="Times New Roman;serif"/>
          <w:b w:val="false"/>
          <w:color w:val="000000"/>
          <w:sz w:val="22"/>
        </w:rPr>
        <w:t xml:space="preserve">shall be the average Fair Market Value (as defined in the Plan) over the 20 trading days ending on the last trading day of the month preceding the month in which the RSU grant is made.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2.1.5</w:t>
      </w:r>
      <w:r>
        <w:rPr>
          <w:rFonts w:ascii="Times New Roman;serif" w:hAnsi="Times New Roman;serif"/>
          <w:b/>
          <w:color w:val="000000"/>
          <w:sz w:val="22"/>
        </w:rPr>
        <w:t>Remaining Terms</w:t>
      </w:r>
      <w:r>
        <w:rPr>
          <w:rFonts w:ascii="Times New Roman;serif" w:hAnsi="Times New Roman;serif"/>
          <w:b w:val="false"/>
          <w:color w:val="000000"/>
          <w:sz w:val="22"/>
        </w:rPr>
        <w:t>. The remaining terms and conditions of each RSU grant under this Policy, including transferability, will be as set forth in Opendoor’s standard RSU grant notice and agreement, in the form adopted from time to time by the Board or its Compensation Committee. In the event any grant date set forth above for any RSU grant to be made under this Policy is not a trading day on the Nasdaq Stock Exchange (e.g., a weekend or holiday), then the grant date shall be the next trading day.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3.Expenses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Opendoor will reimburse each Non-Employee Director for ordinary, necessary and reasonable out-of-pocket travel expenses to cover in-person attendance at and participation in Board and committee meetings; provided that the Non-Employee Director timely submits to Opendoor appropriate documentation substantiating such expenses in accordance with Opendoor’s travel and expense policy, as in effect from time to time.</w:t>
      </w:r>
    </w:p>
    <w:p>
      <w:pPr>
        <w:pStyle w:val="TextBody"/>
        <w:bidi w:val="0"/>
        <w:spacing w:lineRule="auto" w:line="288" w:before="0" w:after="240"/>
        <w:ind w:left="0" w:right="0" w:hanging="720"/>
        <w:jc w:val="both"/>
        <w:rPr/>
      </w:pPr>
      <w:r>
        <w:rPr>
          <w:rFonts w:ascii="Times New Roman;serif" w:hAnsi="Times New Roman;serif"/>
          <w:b/>
          <w:color w:val="000000"/>
          <w:sz w:val="22"/>
        </w:rPr>
        <w:t>4.</w:t>
      </w:r>
      <w:r>
        <w:rPr>
          <w:rFonts w:ascii="Times New Roman;serif" w:hAnsi="Times New Roman;serif"/>
          <w:b/>
          <w:color w:val="000000"/>
          <w:sz w:val="24"/>
        </w:rPr>
        <w:t>Compensation Limits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in this Policy, all compensation payable under this Policy will be subject to any limits on the maximum amount of Non-Employee Director compensation set forth in the Plan, as in effect from time to time.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(As adopted by the Board of Directors on December 18, 2020 and amended by the Board on May 23, 2023, February 26, 2025 and November 20,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4"/>
        </w:rPr>
      </w:pPr>
      <w:r>
        <w:rPr>
          <w:rFonts w:ascii="Times New Roman;serif" w:hAnsi="Times New Roman;serif"/>
          <w:b/>
          <w:color w:val="000000"/>
          <w:sz w:val="24"/>
        </w:rPr>
        <w:t>Exhibit 10.38</w:t>
      </w:r>
    </w:p>
    <w:p>
      <w:pPr>
        <w:pStyle w:val="TextBody"/>
        <w:bidi w:val="0"/>
        <w:spacing w:lineRule="auto" w:line="288" w:before="0" w:after="480"/>
        <w:jc w:val="center"/>
        <w:rPr/>
      </w:pPr>
      <w:r>
        <w:rPr>
          <w:rFonts w:ascii="Times New Roman;serif" w:hAnsi="Times New Roman;serif"/>
          <w:b/>
          <w:color w:val="000000"/>
          <w:sz w:val="24"/>
        </w:rPr>
        <w:t>Opendoor Labs Inc.</w:t>
        <w:br/>
      </w:r>
      <w:r>
        <w:rPr>
          <w:rFonts w:ascii="Times New Roman;serif" w:hAnsi="Times New Roman;serif"/>
          <w:b w:val="false"/>
          <w:color w:val="000000"/>
          <w:sz w:val="24"/>
        </w:rPr>
        <w:t>410 N. Scottsdale Road Suite 1000</w:t>
        <w:br/>
        <w:t>Tempe, AZ 85288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September 23,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Giang Nguyen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br/>
        <w:t>VIA 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Giang:</w:t>
      </w:r>
    </w:p>
    <w:p>
      <w:pPr>
        <w:pStyle w:val="TextBody"/>
        <w:bidi w:val="0"/>
        <w:spacing w:lineRule="auto" w:line="288" w:before="0" w:after="240"/>
        <w:ind w:left="0" w:right="0" w:firstLine="720"/>
        <w:jc w:val="both"/>
        <w:rPr/>
      </w:pPr>
      <w:r>
        <w:rPr>
          <w:rFonts w:ascii="Times New Roman;serif" w:hAnsi="Times New Roman;serif"/>
          <w:b w:val="false"/>
          <w:color w:val="000000"/>
          <w:sz w:val="24"/>
        </w:rPr>
        <w:t>Opendoor Labs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is pleased to offer you employment on the terms described in 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Your employment will commence as soon as reasonably practicable following the date of this Agreement, but in no event later than October 15, 2025, unless you are unable to obtain a waiver of notice obligations to your current employer, in which case no later than October 27, 2025 (such actual date of your commencement of employment shall be referred to herein as the “</w:t>
      </w:r>
      <w:r>
        <w:rPr>
          <w:rFonts w:ascii="Times New Roman;serif" w:hAnsi="Times New Roman;serif"/>
          <w:b w:val="false"/>
          <w:color w:val="000000"/>
          <w:sz w:val="24"/>
          <w:u w:val="single"/>
        </w:rPr>
        <w:t>Start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 You will initially serve as Senior Vice President of Operations of the Company. You will report to the Company’s Chief Executive Officer (currently Kaz Nejatian). In this role, you will be responsible for performing such duties as are customarily associated with such position, and such other responsibilities consistent with your title, as may be assigned to you by the Company’s CEO or the Company’s Board. During your employment with the Company, you will devote your reasonable best efforts and substantially all of your business time and attention to the business of Opendoor Technologies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the Company and its subsidiaries (together,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except for approved vacation periods and reasonable periods of illness or other incapacities permitted by the Company Group’s general employment policies. </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Work Location and Residence</w:t>
      </w:r>
      <w:r>
        <w:rPr>
          <w:rFonts w:ascii="Times New Roman;serif" w:hAnsi="Times New Roman;serif"/>
          <w:b w:val="false"/>
          <w:color w:val="000000"/>
          <w:sz w:val="24"/>
        </w:rPr>
        <w:t>. For the first twelve (12) months of your employment, your primary work location will be remotely from your home, which is currently in the Bahamas. No later than the one (1)-year anniversary of your Start Date, you will primarily work from one or more of the Company’s offices, as selected by you in your reasonable discretion. The Company agrees to reimburse you for moving/relocation expenses, in an amount not to exceed $50,000 USD, incurred in connection with your obligations set forth in this paragraph 2, subject to your providing appropriate documentation to the Company substantiating such expenses. The Company and you agree that you will each make a good faith effort to obtain all of the documents necessary for you to work in the United States. You agree that your obligations to relocate pursuant to this paragraph 2 shall not constitute “Good Reason” (as defined in the Severance Plan and herein) or any other agreement between you and Parent or the Company that incorporates (directly or indirectly) the definition of “Good Reason.” Parent agrees that your inability to obtain the necessary work authorization to permit you to work lawfully in the United States shall not constitute a reason to terminate this Agreement or your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Salary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Your annual base salary will be six hundred fifty thousand dollars ($650,000 USD). As an exempt salaried employee, you will be required to work the Company’s normal business hours, and such additional time as appropriate for your work assignments and position, and you will not be entitled to overtime compensation. The Company may change your base salary from time to time with reasonable advance notice, subject to the terms and conditions set forth herein, and provided that any decrease in your base salary is done at the same time and in the same amount (on a percentage basis) as all other senior executives.</w: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Signing/Retention Payment</w:t>
      </w:r>
      <w:r>
        <w:rPr>
          <w:rFonts w:ascii="Times New Roman;serif" w:hAnsi="Times New Roman;serif"/>
          <w:b w:val="false"/>
          <w:color w:val="000000"/>
          <w:sz w:val="24"/>
        </w:rPr>
        <w:t>. Subject to paragraph 13(a), you will be paid a lump sum cash payment in the amount of one million dollars ($1,000,000 USD), less applicable withholdings and required deductions (the “</w:t>
      </w:r>
      <w:r>
        <w:rPr>
          <w:rFonts w:ascii="Times New Roman;serif" w:hAnsi="Times New Roman;serif"/>
          <w:b w:val="false"/>
          <w:color w:val="000000"/>
          <w:sz w:val="24"/>
          <w:u w:val="single"/>
        </w:rPr>
        <w:t>Signing/Retention Payment</w:t>
      </w:r>
      <w:r>
        <w:rPr>
          <w:color w:val="000000"/>
        </w:rPr>
        <w:t>”</w:t>
      </w:r>
      <w:r>
        <w:rPr>
          <w:rFonts w:ascii="Times New Roman;serif" w:hAnsi="Times New Roman;serif"/>
          <w:b w:val="false"/>
          <w:color w:val="000000"/>
          <w:sz w:val="24"/>
        </w:rPr>
        <w:t xml:space="preserve">), on the first regular payroll date after the Start Date. In the event that, prior to the one year anniversary of your Start Date, you voluntarily resign without Good Reason (as defined in the Severance Plan and herein), you shall repay, within 30 days of your last day of employment with the Company, a prorated amount of the Signing/Retention Payment (less applicable withholdings and required deductions), based on the number of completed months of employment. </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will be eligible to participate in all of the employee benefit plans or programs the Company generally makes available to its senior executives, including without limitation, medical, dental, vision, retirement, and life insurance plans, pursuant to the terms and conditions of such plans. You will be eligible for Company-paid holidays and paid time off in accordance with the Company’s policies. The Company may, from time to time, change these benefits in its discretion, provided that you shall be treated no less favorably than similarly situated employees. Additional information regarding these benefits is available for your review upon request.</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Equity</w:t>
      </w:r>
      <w:r>
        <w:rPr>
          <w:rFonts w:ascii="Times New Roman;serif" w:hAnsi="Times New Roman;serif"/>
          <w:b w:val="false"/>
          <w:color w:val="000000"/>
          <w:sz w:val="24"/>
        </w:rPr>
        <w:t>. The sign-on equity awards described in this paragraph 6 are intended to be your exclusive long-term incentive compensation from the Company Group during the performance and vesting periods covered by such awards.</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First Sign-On PSU Award</w:t>
      </w:r>
      <w:r>
        <w:rPr>
          <w:rFonts w:ascii="Times New Roman;serif" w:hAnsi="Times New Roman;serif"/>
          <w:b w:val="false"/>
          <w:color w:val="000000"/>
          <w:sz w:val="24"/>
        </w:rPr>
        <w:t>.  The Board of Directors or Compensation Committee of Parent, as soon as practicable following the Start Date, will grant you an award of performance-based RSUs with a stock price performance gate covering 3,600,000 shares of the Parent’s common stock (the “</w:t>
      </w:r>
      <w:r>
        <w:rPr>
          <w:rFonts w:ascii="Times New Roman;serif" w:hAnsi="Times New Roman;serif"/>
          <w:b w:val="false"/>
          <w:color w:val="000000"/>
          <w:sz w:val="24"/>
          <w:u w:val="single"/>
        </w:rPr>
        <w:t>First Sign-On PSU Award</w:t>
      </w:r>
      <w:r>
        <w:rPr>
          <w:color w:val="000000"/>
        </w:rPr>
        <w:t>”</w:t>
      </w:r>
      <w:r>
        <w:rPr>
          <w:rFonts w:ascii="Times New Roman;serif" w:hAnsi="Times New Roman;serif"/>
          <w:b w:val="false"/>
          <w:color w:val="000000"/>
          <w:sz w:val="24"/>
        </w:rPr>
        <w:t xml:space="preserve">) pursuant to the Nasdaq “inducement award” exception under Nasdaq Listing Rule 5635(c)(4). The First Sign-On PSU Award will be granted pursuant to the form of grant notice and award agreement attached to this Agreement as </w:t>
      </w:r>
      <w:r>
        <w:rPr>
          <w:rFonts w:ascii="Times New Roman;serif" w:hAnsi="Times New Roman;serif"/>
          <w:b w:val="false"/>
          <w:color w:val="000000"/>
          <w:sz w:val="24"/>
          <w:u w:val="single"/>
        </w:rPr>
        <w:t>Attachment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First Sign-On PSU Award Agreement</w:t>
      </w:r>
      <w:r>
        <w:rPr>
          <w:color w:val="000000"/>
        </w:rPr>
        <w:t>”</w:t>
      </w:r>
      <w:r>
        <w:rPr>
          <w:rFonts w:ascii="Times New Roman;serif" w:hAnsi="Times New Roman;serif"/>
          <w:b w:val="false"/>
          <w:color w:val="000000"/>
          <w:sz w:val="24"/>
        </w:rPr>
        <w:t xml:space="preserve">) and will be subject to all terms and conditions set forth in the First Sign-On PSU Award Agreement. </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Sign-On RSU Award.</w:t>
      </w:r>
      <w:r>
        <w:rPr>
          <w:color w:val="000000"/>
        </w:rPr>
        <w:t xml:space="preserve"> </w:t>
      </w:r>
      <w:r>
        <w:rPr>
          <w:rFonts w:ascii="Times New Roman;serif" w:hAnsi="Times New Roman;serif"/>
          <w:b w:val="false"/>
          <w:color w:val="000000"/>
          <w:sz w:val="24"/>
        </w:rPr>
        <w:t>The Board of Directors or Compensation Committee of Parent, as soon as practicable following the Start Date, will grant you an award of RSUs covering 500,000 shares of Parent’s common stock (the “</w:t>
      </w:r>
      <w:r>
        <w:rPr>
          <w:rFonts w:ascii="Times New Roman;serif" w:hAnsi="Times New Roman;serif"/>
          <w:b w:val="false"/>
          <w:color w:val="000000"/>
          <w:sz w:val="24"/>
          <w:u w:val="single"/>
        </w:rPr>
        <w:t>Sign-On RSU Award</w:t>
      </w:r>
      <w:r>
        <w:rPr>
          <w:color w:val="000000"/>
        </w:rPr>
        <w:t>”</w:t>
      </w:r>
      <w:r>
        <w:rPr>
          <w:rFonts w:ascii="Times New Roman;serif" w:hAnsi="Times New Roman;serif"/>
          <w:b w:val="false"/>
          <w:color w:val="000000"/>
          <w:sz w:val="24"/>
        </w:rPr>
        <w:t>) pursuant to the Nasdaq “inducement award” exception under Nasdaq Listing Rule 5635(c)(4), which will be eligible to vest in installments over a period of five (5) years from the 15th day of the calendar month in which the Start Date falls (the “</w:t>
      </w:r>
      <w:r>
        <w:rPr>
          <w:rFonts w:ascii="Times New Roman;serif" w:hAnsi="Times New Roman;serif"/>
          <w:b w:val="false"/>
          <w:color w:val="000000"/>
          <w:sz w:val="24"/>
          <w:u w:val="single"/>
        </w:rPr>
        <w:t>Vesting Commencement Date</w:t>
      </w:r>
      <w:r>
        <w:rPr>
          <w:color w:val="000000"/>
        </w:rPr>
        <w:t>”</w:t>
      </w:r>
      <w:r>
        <w:rPr>
          <w:rFonts w:ascii="Times New Roman;serif" w:hAnsi="Times New Roman;serif"/>
          <w:b w:val="false"/>
          <w:color w:val="000000"/>
          <w:sz w:val="24"/>
        </w:rPr>
        <w:t>), with twenty percent (20%) of the award vesting on the six month anniversary of the Vesting Commencement Date and the remainder of the award vesting in quarterly installments thereafter. The Sign-On RSU Award will be granted pursuant to the Company’s standard form of grant notice and award agreement (the “</w:t>
      </w:r>
      <w:r>
        <w:rPr>
          <w:rFonts w:ascii="Times New Roman;serif" w:hAnsi="Times New Roman;serif"/>
          <w:b w:val="false"/>
          <w:color w:val="000000"/>
          <w:sz w:val="24"/>
          <w:u w:val="single"/>
        </w:rPr>
        <w:t>Sign-On RSU Award Agreement</w:t>
      </w:r>
      <w:r>
        <w:rPr>
          <w:color w:val="000000"/>
        </w:rPr>
        <w:t>”</w:t>
      </w:r>
      <w:r>
        <w:rPr>
          <w:rFonts w:ascii="Times New Roman;serif" w:hAnsi="Times New Roman;serif"/>
          <w:b w:val="false"/>
          <w:color w:val="000000"/>
          <w:sz w:val="24"/>
        </w:rPr>
        <w:t xml:space="preserve">) and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all terms and conditions set forth in the Sign-On RSU Award Agreement, except as otherwise set forth herein. The Sign-On RSU Award Agreement will also include the following terms: In the event of the Participant’s Qualifying Termination (as defined in the Severance Plan), any unvested portion of the Sign-On RSU Award shall become fully vested as of the date of such Qualifying Termination.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Second Sign-On PSU Award</w:t>
      </w:r>
      <w:r>
        <w:rPr>
          <w:rFonts w:ascii="Times New Roman;serif" w:hAnsi="Times New Roman;serif"/>
          <w:b w:val="false"/>
          <w:color w:val="000000"/>
          <w:sz w:val="24"/>
        </w:rPr>
        <w:t>. The Board of Directors or Compensation Committee of Parent, as soon as practicable following the Start Date, will grant you an award of performance-based RSUs covering 4,100,000 shares of the Company’s common stock (the “</w:t>
      </w:r>
      <w:r>
        <w:rPr>
          <w:rFonts w:ascii="Times New Roman;serif" w:hAnsi="Times New Roman;serif"/>
          <w:b w:val="false"/>
          <w:color w:val="000000"/>
          <w:sz w:val="24"/>
          <w:u w:val="single"/>
        </w:rPr>
        <w:t>Second Sign-On PSU Award</w:t>
      </w:r>
      <w:r>
        <w:rPr>
          <w:color w:val="000000"/>
        </w:rPr>
        <w:t>”</w:t>
      </w:r>
      <w:r>
        <w:rPr>
          <w:rFonts w:ascii="Times New Roman;serif" w:hAnsi="Times New Roman;serif"/>
          <w:b w:val="false"/>
          <w:color w:val="000000"/>
          <w:sz w:val="24"/>
        </w:rPr>
        <w:t xml:space="preserve">) pursuant to the Nasdaq “inducement award” exception under Nasdaq Listing Rule 5635(c)(4). The Second Sign-On PSU Award will be granted pursuant to the form of grant notice and award agreement attached to this Agreement as </w:t>
      </w:r>
      <w:r>
        <w:rPr>
          <w:rFonts w:ascii="Times New Roman;serif" w:hAnsi="Times New Roman;serif"/>
          <w:b w:val="false"/>
          <w:color w:val="000000"/>
          <w:sz w:val="24"/>
          <w:u w:val="single"/>
        </w:rPr>
        <w:t>Attachment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Second Sign-On PSU Award Agreement</w:t>
      </w:r>
      <w:r>
        <w:rPr>
          <w:color w:val="000000"/>
        </w:rPr>
        <w:t>”</w:t>
      </w:r>
      <w:r>
        <w:rPr>
          <w:rFonts w:ascii="Times New Roman;serif" w:hAnsi="Times New Roman;serif"/>
          <w:b w:val="false"/>
          <w:color w:val="000000"/>
          <w:sz w:val="24"/>
        </w:rPr>
        <w:t xml:space="preserve">) and will be subject to all terms and conditions set forth in the Second Sign-On PSU Award Agreement. </w:t>
      </w:r>
    </w:p>
    <w:p>
      <w:pPr>
        <w:pStyle w:val="TextBody"/>
        <w:bidi w:val="0"/>
        <w:spacing w:lineRule="auto" w:line="288"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Expenses</w:t>
      </w:r>
      <w:r>
        <w:rPr>
          <w:rFonts w:ascii="Times New Roman;serif" w:hAnsi="Times New Roman;serif"/>
          <w:b w:val="false"/>
          <w:color w:val="000000"/>
          <w:sz w:val="24"/>
        </w:rPr>
        <w:t xml:space="preserve">. You will be entitled to reimbursement for all ordinary and reasonable out-of-pocket business expenses which are reasonably incurred by you in furtherance of the Company Group’s business, with appropriate documentation and in accordance with the Company Group’s standard policies. 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 </w:t>
      </w:r>
    </w:p>
    <w:p>
      <w:pPr>
        <w:pStyle w:val="TextBody"/>
        <w:bidi w:val="0"/>
        <w:spacing w:lineRule="auto" w:line="288"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Compliance with Confidentiality Information Agreement and Company Policies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condition of employment, you agree to sign and comply with the Confidential Information and Inventions Assignment Agreement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val="false"/>
          <w:color w:val="000000"/>
          <w:sz w:val="24"/>
          <w:u w:val="single"/>
        </w:rPr>
        <w:t>Attachment C</w:t>
      </w:r>
      <w:r>
        <w:rPr>
          <w:rFonts w:ascii="Times New Roman;serif" w:hAnsi="Times New Roman;serif"/>
          <w:b w:val="false"/>
          <w:color w:val="000000"/>
          <w:sz w:val="24"/>
        </w:rPr>
        <w:t xml:space="preserve">. In addition, you are required to abide by the Company Group’s policies and procedures (including but not limited to the Company Group’s employee handbook), as adopted or modified from time to time within the Company Group’s discretion, and acknowledge in writing that you have read and will comply with such policies and procedures (and provide additional such acknowledgements as such policies and procedures may be modified from time to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the terms of this Agreement differ from or are in conflict with the Company Group’s general employment policies or practices, this Agreement shall control.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or the Confidentiality Agreement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Employee has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Protection of Third-Party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signing this Agreement, you are representing that you have full authority to accept this position and perform the duties of the position commencing on the Start Date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on and after the Start Date.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Employment Relationship</w:t>
      </w:r>
      <w:r>
        <w:rPr>
          <w:rFonts w:ascii="Times New Roman;serif" w:hAnsi="Times New Roman;serif"/>
          <w:b w:val="false"/>
          <w:color w:val="000000"/>
          <w:sz w:val="24"/>
        </w:rPr>
        <w:t>. Your employment with the Company is for no specific period of time. Your employment with the Company is “at will,” meaning that either you or the Company may terminate your employment at any time and for any reason, with or without Cause (as defined in the Severance Plan) and with or without advance notice. Any contrary representations which may have been made to you are superseded by this offer. This Agreement, including the Attachments hereto, is the full and complete agreement between you and the Company Group regarding your employment. TThe “at will” nature of your employment may only be changed in an express written agreement signed by you and the Board. You will not be entitled to any severance or termination benefits from the Company Group, other than as expressly set forth in this Agreement or its Attachment. Upon your termination of employment for any reason, the Company will pay you all compensation and accrued, unused paid-time-off, if applicable, earned but not paid through the date of termination and vested benefits as required under applicable law or the terms of any applicable benefit plan.</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Severance</w:t>
      </w:r>
      <w:r>
        <w:rPr>
          <w:rFonts w:ascii="Times New Roman;serif" w:hAnsi="Times New Roman;serif"/>
          <w:b w:val="false"/>
          <w:color w:val="000000"/>
          <w:sz w:val="24"/>
        </w:rPr>
        <w:t>. You may be entitled to severance upon certain qualifying terminations of employment, as outlined in the Opendoor Technologies Inc. Executive Severance Plan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By signing this Agreement and the Participation Agreement with respect to your participation in the Severance Plan, attached hereto as Attachment D (the “</w:t>
      </w:r>
      <w:r>
        <w:rPr>
          <w:rFonts w:ascii="Times New Roman;serif" w:hAnsi="Times New Roman;serif"/>
          <w:b w:val="false"/>
          <w:color w:val="000000"/>
          <w:sz w:val="24"/>
          <w:u w:val="single"/>
        </w:rPr>
        <w:t>Participation Agreement</w:t>
      </w:r>
      <w:r>
        <w:rPr>
          <w:color w:val="000000"/>
        </w:rPr>
        <w:t>”</w:t>
      </w:r>
      <w:r>
        <w:rPr>
          <w:rFonts w:ascii="Times New Roman;serif" w:hAnsi="Times New Roman;serif"/>
          <w:b w:val="false"/>
          <w:color w:val="000000"/>
          <w:sz w:val="24"/>
        </w:rPr>
        <w:t>), you acknowledge your designation as a Tier 2 Executive (as defined in the Severance Plan) in the Severance Plan and your understanding that you agree to all the terms and conditions of the Severance Plan. Notwisthanding anything in the Severance Plan to the contrary, this Agreement shall amend the definition of “Good Reason” in Section 1.17 of the Severance Plan to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with respect to a Participant, shall have the meaning set forth in such Participant’s offer letter agreement, employment agreement or similar agreement with the Employer, or, in the absence of such agreement, or if such agreement does not have a definition of “Good Reason,” means the occurrence of any of the following events without the Participant’s written consent: (a) a reduction by the Company or its successor of more than 20% in the Participant’s rate of annual base salary, unless such reduction is in connection with and proportional to reductions to the base salary reductions of other executives of the Company; (b) a material reduction in the Participant’s job responsibilities, duties or authority (provided that a mere change in title to an employment position that is substantially similar to the prior employment position shall not constitute a material reduction in job responsibilities, duty or authority); (c) a change in the geographic location of the Participant’s principal place of employment to any location more than 50 miles from the Participant’s current principal place of employment; (d) the Company requiring Participant to report directly to any individual other than Kaz Nejatian during the first thirty-six (36) months of Participant’s employment, provided that Mr. Nejatian remains employed by the Company during such entire thirty-six (36) month period; and (e) the termination by the Company of Mr. Nejatian’s employment as Chief Executive Officer other than for Cause (as defined in Mr. Nejatian’s offer letter agreement with the Company) during the first thirty-six (36) months of the Participant’s employment. Notwithstanding the foregoing, Good Reason shall not exist unless, within 30 days after the initial occurrence of a circumstance that the Participant believes in good faith to constitute Good Reason, the Participant delivers written notice to the Company setting forth with specificity such circumstance the Participant believes in good faith constitutes Good Reason, the Company shall have failed to cure any claimed event of Good Reason (if capable of cure) within 30 days after receipt of such notice, and the Participant must actually terminate the Participant’s employment no later than 30 days following the expiration of the Company’s cure period.</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Outside Activities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During your employment by the Company, except on behalf of the Company Group,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Group (or is planning or preparing to compete with the Company Group), anywhere in the world, in any line of business engaged in (or planned to be engaged in) by the Company Group;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you may purchase or otherwise acquire up to (but not more than) 1% of any class of securities of any enterprise (but without participating in the activities of such enterprise) and you may passively invest in hedge funds, mutual funds, private equity funds and similar funds. Nothing in this Agreement shall prohibit or restrict you from managing your personal investments in companies (and serving on their boards) that are not competitive with the Company Group or engaging in civic, charitable, religious or political activities, sitting on a non-profit, professional, or industry boards, or conducting personal speaking or educational engagements, in each case provided such endeavors do not materially interfere with your obligations under this Agreement. In addition, in the event that you wish to undertake any substantial business activity outside the scope of your employment by the Company, which activity you believe entails no conflict with the Company Group’s business, you agree to inform the Board of your intentions prior to the initiation of such outside business activity, and you furthermore agree to abide by the Board’s decision, which shall be rendered in good faith, as to whether or not there is such a conflict. If, in the Board’s sole determination, such a conflict exists or is likely to develop, you agree not to undertake such outside business activity.</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color w:val="000000"/>
          <w:sz w:val="24"/>
          <w:u w:val="single"/>
        </w:rPr>
        <w:t>Rescission or Delay of Offer</w:t>
      </w:r>
      <w:r>
        <w:rPr>
          <w:rFonts w:ascii="Times New Roman;serif" w:hAnsi="Times New Roman;serif"/>
          <w:b w:val="false"/>
          <w:color w:val="000000"/>
          <w:sz w:val="24"/>
        </w:rPr>
        <w:t>. In the event that the Company rescinds this offer prior to the Start Date or delays the Start Date beyond November 27, 2025, in each case, if your prior employer initiates, or threatens in writing to initiate, legal action against the Company to enjoin or otherwise prevent your commencement of employment with the Company, then the Company shall pay you a lump sum cash payment equal to one million dollars ($1,000,000 USD) within fifteen (15) days of November 27, 2025 (the “Payment Date”). If you begin employment pursuant to this Agreement within twelve (12) months of the Payment Date, the payment described in this paragraph 13(b) shall be in lieu of the Signing/Retention Payment and you agree that you shall not be entitled to receive the Signing/Retention Payment.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color w:val="000000"/>
          <w:sz w:val="24"/>
          <w:u w:val="single"/>
        </w:rPr>
        <w:t>Governing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validity, interpretation, construction and performance of this Agreement, and all acts and transactions pursuant hereto and the rights and obligations of the parties hereto shall be governed, construed and interpreted in accordance with the laws of state of California, without giving effect to principles of conflicts of law.</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color w:val="000000"/>
          <w:sz w:val="24"/>
          <w:u w:val="single"/>
        </w:rPr>
        <w:t>Entire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acknowledge and agree that as of your execution of this Agreement, your sole entitlement to any compensation or benefits from the Company Group will be as set forth in this Agreement. This Agreement, including the Attachments hereto, set forth the entire agreement and understanding of the parties relating to the subject matter herein and supersedes all prior or contemporaneous discussions, understandings and agreements, whether oral or written, between you and the Company Group relating to the subject matter hereof.</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color w:val="000000"/>
          <w:sz w:val="24"/>
          <w:u w:val="single"/>
        </w:rPr>
        <w:t>Counterparts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color w:val="000000"/>
          <w:sz w:val="24"/>
          <w:u w:val="single"/>
        </w:rPr>
        <w:t>Successors and Assigns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will bind the heirs, personal representatives, successors and assigns of both you and the Company, and inure to the benefit of both you and the Company, their heirs, successors and assigns, except that you may not assign any of your duties hereunder and you may not assign any of your rights hereunder, without the written consent of the Company.</w:t>
      </w:r>
    </w:p>
    <w:p>
      <w:pPr>
        <w:pStyle w:val="TextBody"/>
        <w:bidi w:val="0"/>
        <w:spacing w:lineRule="auto" w:line="288" w:before="0" w:after="240"/>
        <w:ind w:left="0" w:right="0" w:firstLine="720"/>
        <w:jc w:val="both"/>
        <w:rPr/>
      </w:pPr>
      <w:r>
        <w:rPr>
          <w:rFonts w:ascii="Times New Roman;serif" w:hAnsi="Times New Roman;serif"/>
          <w:b w:val="false"/>
          <w:color w:val="010000"/>
          <w:sz w:val="24"/>
        </w:rPr>
        <w:t>(f)</w:t>
      </w:r>
      <w:r>
        <w:rPr>
          <w:rFonts w:ascii="Times New Roman;serif" w:hAnsi="Times New Roman;serif"/>
          <w:b/>
          <w:color w:val="000000"/>
          <w:sz w:val="24"/>
          <w:u w:val="single"/>
        </w:rPr>
        <w:t>Severability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w:t>
      </w:r>
    </w:p>
    <w:p>
      <w:pPr>
        <w:pStyle w:val="TextBody"/>
        <w:bidi w:val="0"/>
        <w:spacing w:lineRule="auto" w:line="288" w:before="0" w:after="240"/>
        <w:ind w:left="0" w:right="0" w:firstLine="720"/>
        <w:jc w:val="both"/>
        <w:rPr/>
      </w:pPr>
      <w:r>
        <w:rPr>
          <w:rFonts w:ascii="Times New Roman;serif" w:hAnsi="Times New Roman;serif"/>
          <w:b w:val="false"/>
          <w:color w:val="010000"/>
          <w:sz w:val="24"/>
        </w:rPr>
        <w:t>(g)</w:t>
      </w:r>
      <w:r>
        <w:rPr>
          <w:rFonts w:ascii="Times New Roman;serif" w:hAnsi="Times New Roman;serif"/>
          <w:b/>
          <w:color w:val="000000"/>
          <w:sz w:val="24"/>
          <w:u w:val="single"/>
        </w:rPr>
        <w:t>Amendment or Waiver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 provision of this Agreement may be amended unless such amendment is expressly set forth in a writing that is signed by you and an authorized representative of the Company. Any waiver of a breach of this Agreement, or rights hereunder, shall not be effective unless expressly made in a writing that is signed by the party against whom it is sought to be enforced, and shall not be deemed to be a waiver of any successive breach or rights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(h)</w:t>
      </w:r>
      <w:r>
        <w:rPr>
          <w:rFonts w:ascii="Times New Roman;serif" w:hAnsi="Times New Roman;serif"/>
          <w:b/>
          <w:color w:val="000000"/>
          <w:sz w:val="24"/>
          <w:u w:val="single"/>
        </w:rPr>
        <w:t>Withholding</w:t>
      </w:r>
      <w:r>
        <w:rPr>
          <w:rFonts w:ascii="Times New Roman;serif" w:hAnsi="Times New Roman;serif"/>
          <w:b w:val="false"/>
          <w:color w:val="000000"/>
          <w:sz w:val="24"/>
        </w:rPr>
        <w:t>. All amounts payable to you will be subject to appropriate payroll deductions and withholdings.</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color w:val="000000"/>
          <w:sz w:val="24"/>
          <w:u w:val="single"/>
        </w:rPr>
        <w:t>Electronic Delivery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may, in its sole discretion, decide to deliver any documents or notices related to this Agreement,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 (ii) receive such documents and notices by such electronic delivery; and (iii) sign documents electronically and agree to participate through an on-line or electronic system established and maintained by the Company Group or a third party designated by the Company.</w:t>
      </w:r>
    </w:p>
    <w:p>
      <w:pPr>
        <w:pStyle w:val="TextBody"/>
        <w:bidi w:val="0"/>
        <w:spacing w:lineRule="auto" w:line="288" w:before="0" w:after="240"/>
        <w:ind w:left="0" w:right="0" w:firstLine="720"/>
        <w:jc w:val="both"/>
        <w:rPr/>
      </w:pPr>
      <w:r>
        <w:rPr>
          <w:rFonts w:ascii="Times New Roman;serif" w:hAnsi="Times New Roman;serif"/>
          <w:b/>
          <w:color w:val="010000"/>
          <w:sz w:val="24"/>
        </w:rPr>
        <w:t>(j)</w:t>
      </w:r>
      <w:r>
        <w:rPr>
          <w:rFonts w:ascii="Times New Roman;serif" w:hAnsi="Times New Roman;serif"/>
          <w:b/>
          <w:color w:val="000000"/>
          <w:sz w:val="24"/>
          <w:u w:val="single"/>
        </w:rPr>
        <w:t>Arbitration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agree that any and all disputes relating to or regarding your employment, including disputes regarding compensation and any and all other conflicts, shall be resolved pursuant to the Federal Arbitration Act, 9 U.S.C. § 1-16 (“</w:t>
      </w:r>
      <w:r>
        <w:rPr>
          <w:rFonts w:ascii="Times New Roman;serif" w:hAnsi="Times New Roman;serif"/>
          <w:b w:val="false"/>
          <w:color w:val="000000"/>
          <w:sz w:val="24"/>
          <w:u w:val="single"/>
        </w:rPr>
        <w:t>FAA</w:t>
      </w:r>
      <w:r>
        <w:rPr>
          <w:color w:val="000000"/>
        </w:rPr>
        <w:t>”</w:t>
      </w:r>
      <w:r>
        <w:rPr>
          <w:rFonts w:ascii="Times New Roman;serif" w:hAnsi="Times New Roman;serif"/>
          <w:b w:val="false"/>
          <w:color w:val="000000"/>
          <w:sz w:val="24"/>
        </w:rPr>
        <w:t>), or if inapplicable, the California Arbitration Act, to the fullest extent permitted by law, by final and binding arbitration. You further agree that such disputes shall be resolved on an individual basis only, and not on a class, collective or representative basis on behalf of other employees (“</w:t>
      </w:r>
      <w:r>
        <w:rPr>
          <w:rFonts w:ascii="Times New Roman;serif" w:hAnsi="Times New Roman;serif"/>
          <w:b w:val="false"/>
          <w:color w:val="000000"/>
          <w:sz w:val="24"/>
          <w:u w:val="single"/>
        </w:rPr>
        <w:t>Class Waiver</w:t>
      </w:r>
      <w:r>
        <w:rPr>
          <w:color w:val="000000"/>
        </w:rPr>
        <w:t>”</w:t>
      </w:r>
      <w:r>
        <w:rPr>
          <w:rFonts w:ascii="Times New Roman;serif" w:hAnsi="Times New Roman;serif"/>
          <w:b w:val="false"/>
          <w:color w:val="000000"/>
          <w:sz w:val="24"/>
        </w:rPr>
        <w:t>), to the extent permitted by applicable law. Any claim that all or part of the Class Waiver is invalid, unenforceable, unconscionable, void or voidable may be determined only by a court. In no case may class, collective or representative claims proceed in arbitration. Notwithstanding the foregoing, this paragraph shall not apply to an action or claim brought in court that cannot be subject to mandatory arbitration as a matter of law, including without limitation, claims alleging sexual harassment or a nonconsensual sexual action or sexual contact, to the extent any such claims are not permitted by applicable law to be submitted to mandatory arbitration and such applicable law is not preempted by the FAA or otherwise invalid (the “</w:t>
      </w:r>
      <w:r>
        <w:rPr>
          <w:rFonts w:ascii="Times New Roman;serif" w:hAnsi="Times New Roman;serif"/>
          <w:b w:val="false"/>
          <w:color w:val="000000"/>
          <w:sz w:val="24"/>
          <w:u w:val="single"/>
        </w:rPr>
        <w:t>Excluded Claims</w:t>
      </w:r>
      <w:r>
        <w:rPr>
          <w:color w:val="000000"/>
        </w:rPr>
        <w:t>”</w:t>
      </w:r>
      <w:r>
        <w:rPr>
          <w:rFonts w:ascii="Times New Roman;serif" w:hAnsi="Times New Roman;serif"/>
          <w:b w:val="false"/>
          <w:color w:val="000000"/>
          <w:sz w:val="24"/>
        </w:rPr>
        <w:t>). In the event you intend to bring multiple claims, including one of the Excluded Claims listed above, the Excluded Claims may be filed with a court, while any other claims will remain subject to mandatory arbitration. You and the Company agree to bring any dispute in arbitration before a single neutral arbitrator with JAMS, Inc. or its successor (“</w:t>
      </w:r>
      <w:r>
        <w:rPr>
          <w:rFonts w:ascii="Times New Roman;serif" w:hAnsi="Times New Roman;serif"/>
          <w:b w:val="false"/>
          <w:color w:val="000000"/>
          <w:sz w:val="24"/>
          <w:u w:val="single"/>
        </w:rPr>
        <w:t>JAMS</w:t>
      </w:r>
      <w:r>
        <w:rPr>
          <w:color w:val="000000"/>
        </w:rPr>
        <w:t>”</w:t>
      </w:r>
      <w:r>
        <w:rPr>
          <w:rFonts w:ascii="Times New Roman;serif" w:hAnsi="Times New Roman;serif"/>
          <w:b w:val="false"/>
          <w:color w:val="000000"/>
          <w:sz w:val="24"/>
        </w:rPr>
        <w:t xml:space="preserve">), in San Francisco, California or in the county of your residence if it is not in the San Francisco Bay Area at the time of the commencement of an arbitration proceeding, pursuant to the JAMS Employment Rules &amp; Procedures (which can currently be reviewed at http://www.jamsadr.com/rules-employment-arbitration/ and will be provided to you upon request). You on the one hand, and the Company on the other, waive any rights to a jury trial or a bench trial in connection with the resolution of any dispute under this Agreement or your employment (although both parties may seek interim emergency relief from a court to prevent irreparable harm pending the conclusion of any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You and the Company shall equally share all JAMS’ arbitration fees, or such fees shall be paid in such other manner to the extent required by, and in accordance with, applicable law to effectuate your and the Company’s agreement to arbitrate; provided, however, if you reside in California, the Company shall pay all JAMS’ arbitration fees in excess of the amount of court fees that would be required of you if the dispute were filed in Superior Court. To the extent JAMS does not collect or you otherwise do not pay to JAMS an equal share of all JAMS’ arbitration fees for any reason, and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pays JAMS your share, you acknowledge and agree that the Company shall be entitled to recover from you half of the JAMS arbitration fees invoiced to the parties (less any amounts you paid to JAMS) in a federal or state court of competent jurisdiction. Each party is responsible for its own attorneys’ fees, except as expressly set forth in your Confidentiality Agreement.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This paragraph shall not apply to an action or claim brought in court pursuant to the California Private Attorneys General Act of 2004, as amended. Arbitration is not a mandatory condition of your employment. </w:t>
      </w:r>
      <w:r>
        <w:rPr>
          <w:rFonts w:ascii="Times New Roman;serif" w:hAnsi="Times New Roman;serif"/>
          <w:b/>
          <w:color w:val="000000"/>
          <w:sz w:val="24"/>
        </w:rPr>
        <w:t>If you wish to opt out of this arbitration agreement, you must notify the Company in writing by sending an email to [***] stating your intent to opt out within 30 days of signing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(k)</w:t>
      </w:r>
      <w:r>
        <w:rPr>
          <w:rFonts w:ascii="Times New Roman;serif" w:hAnsi="Times New Roman;serif"/>
          <w:b/>
          <w:color w:val="000000"/>
          <w:sz w:val="24"/>
          <w:u w:val="single"/>
        </w:rPr>
        <w:t>Company Representations</w:t>
      </w:r>
      <w:r>
        <w:rPr>
          <w:rFonts w:ascii="Times New Roman;serif" w:hAnsi="Times New Roman;serif"/>
          <w:b w:val="false"/>
          <w:color w:val="000000"/>
          <w:sz w:val="24"/>
        </w:rPr>
        <w:t xml:space="preserve">. The Company represents and warrants that (i) it is fully authorized by action of the Board of Directors of Parent to enter into this Agreement and perform its obligations under this Agreement, (ii) the execution, delivery and performance of this Agreement does not violate any applicable law, regulation, order, judgement or decree or any agreement, arrangement, plan or corporate governance document to which it is a party or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 </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48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indicate your acceptance of the Company’s offer of employment, please sign and date this Agreement, the enclosed Participation Agreement and the enclosed Confidentiality Agreement in the space provided for your signature and return them to me within three business days of the date of this letter.</w:t>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OPENDOOR LABS INC.</w:t>
      </w:r>
    </w:p>
    <w:p>
      <w:pPr>
        <w:pStyle w:val="TextBody"/>
        <w:bidi w:val="0"/>
        <w:spacing w:lineRule="auto" w:line="288" w:before="0" w:after="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Michelle Oceguera-Garcia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Michelle Oceguera-Garcia</w:t>
      </w:r>
    </w:p>
    <w:p>
      <w:pPr>
        <w:pStyle w:val="TextBody"/>
        <w:bidi w:val="0"/>
        <w:spacing w:lineRule="auto" w:line="288" w:before="0" w:after="360"/>
        <w:ind w:left="0" w:right="0" w:hanging="7"/>
        <w:jc w:val="left"/>
        <w:rPr>
          <w:rFonts w:ascii="Times New Roman;serif" w:hAnsi="Times New Roman;serif"/>
          <w:b w:val="false"/>
          <w:color w:val="000000"/>
          <w:sz w:val="24"/>
        </w:rPr>
      </w:pPr>
      <w:r>
        <w:rPr>
          <w:rFonts w:ascii="Times New Roman;serif" w:hAnsi="Times New Roman;serif"/>
          <w:b w:val="false"/>
          <w:color w:val="000000"/>
          <w:sz w:val="24"/>
        </w:rPr>
        <w:t>Title: Vice President, Human Resources</w:t>
      </w:r>
    </w:p>
    <w:p>
      <w:pPr>
        <w:pStyle w:val="TextBody"/>
        <w:bidi w:val="0"/>
        <w:spacing w:before="0" w:after="360"/>
        <w:ind w:left="0" w:right="0" w:hanging="7"/>
        <w:jc w:val="left"/>
        <w:rPr/>
      </w:pPr>
      <w:r>
        <w:rPr/>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ACCEPTED AND AGREED:</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Giang Nguyen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Giang Nguyen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A: First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B: Second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C: Confidentiality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D: Participation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6415"/>
                <wp:effectExtent l="0" t="0" r="0" b="0"/>
                <wp:wrapNone/>
                <wp:docPr id="155" name="Frame15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A</w:t>
      </w:r>
    </w:p>
    <w:p>
      <w:pPr>
        <w:pStyle w:val="TextBody"/>
        <w:bidi w:val="0"/>
        <w:spacing w:before="0" w:after="0"/>
        <w:jc w:val="left"/>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FIRST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2022 Inducement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both of which are incorporated into this Grant Notice by reference. Capitalized terms not specifically defined in this Grant Notice or the Agreement have the meanings given to them in the Plan.</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Giang Nguyen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3,600,000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Vesting Commencement Date: </w:t>
      </w:r>
      <w:r>
        <w:rPr>
          <w:rFonts w:ascii="Arial;sans-serif" w:hAnsi="Arial;sans-serif"/>
          <w:b w:val="false"/>
          <w:color w:val="000000"/>
          <w:sz w:val="18"/>
        </w:rPr>
        <w:t>[●], 2025</w:t>
      </w:r>
      <w:r>
        <w:rPr>
          <w:rFonts w:ascii="Arial;sans-serif" w:hAnsi="Arial;sans-serif"/>
          <w:b w:val="false"/>
          <w:color w:val="000000"/>
          <w:sz w:val="12"/>
        </w:rPr>
        <w:t>1</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the Plan, this Grant Notice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2649"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09"/>
        <w:gridCol w:w="109"/>
        <w:gridCol w:w="109"/>
        <w:gridCol w:w="391"/>
        <w:gridCol w:w="391"/>
        <w:gridCol w:w="55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Giang Nguyen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Vesting Commencement Date will be the 15th day of the calendar month in which the Start Date falls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1155"/>
                <wp:effectExtent l="0" t="0" r="0" b="0"/>
                <wp:wrapNone/>
                <wp:docPr id="156" name="Frame1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A</w:t>
      </w:r>
    </w:p>
    <w:p>
      <w:pPr>
        <w:pStyle w:val="TextBody"/>
        <w:bidi w:val="0"/>
        <w:spacing w:before="0" w:after="0"/>
        <w:jc w:val="center"/>
        <w:rPr/>
      </w:pPr>
      <w:r>
        <w:rPr/>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lineRule="auto" w:line="288"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the Participant. The Award is being granted pursuant to the Nasdaq “inducement award” exception under Nasdaq Listing Rule 5635(c)(4) and all terms and conditions of this Award shall be interpreted and applied consistently with such rule.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88"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88"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before="0" w:after="0"/>
        <w:jc w:val="center"/>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awarding, vesting or payment of the PSUs or the subsequent sale of Shares. The Company and its Subsidiaries do not commit and are under no obligation to structure the PSUs to reduce or eliminate Participant’s tax liability.</w:t>
      </w:r>
    </w:p>
    <w:p>
      <w:pPr>
        <w:pStyle w:val="TextBody"/>
        <w:bidi w:val="0"/>
        <w:spacing w:lineRule="auto" w:line="288"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88"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w:t>
      </w:r>
    </w:p>
    <w:p>
      <w:pPr>
        <w:pStyle w:val="TextBody"/>
        <w:bidi w:val="0"/>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forth in this Agreement or the Plan, this Agreement will be binding upon and inure to the benefit of the heirs, legatees, legal representatives, successors and permitted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hereto) constitute the entire agreement of the parties and supersede in their entirety all prior undertakings and agreements of the Company and Participant with respect to the subject matter hereof. Participant agrees and acknowledges that Participant has received and read a copy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xml:space="preserve">.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w:t>
      </w:r>
    </w:p>
    <w:p>
      <w:pPr>
        <w:pStyle w:val="TextBody"/>
        <w:bidi w:val="0"/>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Special Provisions for Bahamas</w:t>
      </w:r>
      <w:r>
        <w:rPr>
          <w:rFonts w:ascii="Times New Roman;serif" w:hAnsi="Times New Roman;serif"/>
          <w:b w:val="false"/>
          <w:color w:val="000000"/>
          <w:sz w:val="24"/>
        </w:rPr>
        <w:t>. Notwithstanding any other provision of this Agreement or the Plan to the contrary: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acknowledges that the grant, vesting, and settlement of this Award may be subject to the securities laws of The Bahamas, including the Securities Industry Act, 2024 and any successor legislation. The Company shall cooperate in good faith to facilitate any required filings, exemptions, or disclosures with the Securities Commission of The Bahamas.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understands that, as a resident of The Bahamas, holding or receiving foreign securities or related proceeds may require prior approval under the Exchange Control Regulations Act. Participant agrees to seek any necessary approvals, and the Company shall provide reasonable assistance in connection with such applications, including documentation of the award terms and valuation.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makes no representations regarding the tax treatment of this Award under Bahamian law. Participant is solely responsible for complying with any applicable tax reporting or payment obligations arising from the grant, vesting, or settlement of this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extent required by the laws of The Bahamas, this Agreement shall be interpreted in a manner consistent with such laws, provided that no provision herein shall be deemed to create an employment relationship under Bahamian law.</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A-5</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Name: Giang Nguyen</w:t>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1155"/>
                <wp:effectExtent l="0" t="0" r="0" b="0"/>
                <wp:wrapNone/>
                <wp:docPr id="162" name="Frame1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PSU VESTING CONDITIONS (FIRST SIGN-ON AWARD)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9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Vesting Conditions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set forth in Sections 5 and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subject to Participant’s continued employment with the Company and its affiliates through the applicable date, the Time-Based Vesting Condition shall be satisfied as to twenty percent (20%) of the PSUs subject to the Award on the six (6)-month anniversary of the Vesting Commencement Date, and the Time-Based Vesting Condition shall be satisfied as to the remaining eighty percent (80%) of the PSUs subject to the Award (the “</w:t>
      </w:r>
      <w:r>
        <w:rPr>
          <w:rFonts w:ascii="Times New Roman;serif" w:hAnsi="Times New Roman;serif"/>
          <w:b w:val="false"/>
          <w:color w:val="000000"/>
          <w:sz w:val="24"/>
          <w:u w:val="single"/>
        </w:rPr>
        <w:t>Remainder</w:t>
      </w:r>
      <w:r>
        <w:rPr>
          <w:color w:val="000000"/>
        </w:rPr>
        <w:t>”</w:t>
      </w:r>
      <w:r>
        <w:rPr>
          <w:rFonts w:ascii="Times New Roman;serif" w:hAnsi="Times New Roman;serif"/>
          <w:b w:val="false"/>
          <w:color w:val="000000"/>
          <w:sz w:val="24"/>
        </w:rPr>
        <w:t>) in substantially equal installments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starting on the date that is three (3) months after the six (6)-month anniversary of the Vesting Commencement Date and continuing on each date that is three (3) months thereafter (such six (6)-month anniversary and each successive date that is three (3) months thereafter, a “</w:t>
      </w:r>
      <w:r>
        <w:rPr>
          <w:rFonts w:ascii="Times New Roman;serif" w:hAnsi="Times New Roman;serif"/>
          <w:b w:val="false"/>
          <w:color w:val="000000"/>
          <w:sz w:val="24"/>
          <w:u w:val="single"/>
        </w:rPr>
        <w:t>Measurement Date</w:t>
      </w:r>
      <w:r>
        <w:rPr>
          <w:color w:val="000000"/>
        </w:rPr>
        <w:t>”</w:t>
      </w:r>
      <w:r>
        <w:rPr>
          <w:rFonts w:ascii="Times New Roman;serif" w:hAnsi="Times New Roman;serif"/>
          <w:b w:val="false"/>
          <w:color w:val="000000"/>
          <w:sz w:val="24"/>
        </w:rPr>
        <w:t xml:space="preserve">), such that the Time-Based Vesting Condition shall be satisfied with respect to one hundred percent 100% of the Award on the four and one-half (4.5) year anniversary of the Vesting Commencement Date. For purposes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w:t>
      </w:r>
      <w:r>
        <w:rPr>
          <w:rFonts w:ascii="Times New Roman;serif" w:hAnsi="Times New Roman;serif"/>
          <w:b w:val="false"/>
          <w:color w:val="000000"/>
          <w:sz w:val="24"/>
          <w:u w:val="single"/>
        </w:rPr>
        <w:t>Tranche</w:t>
      </w:r>
      <w:r>
        <w:rPr>
          <w:color w:val="000000"/>
        </w:rPr>
        <w:t xml:space="preserve">” </w:t>
      </w:r>
      <w:r>
        <w:rPr>
          <w:rFonts w:ascii="Times New Roman;serif" w:hAnsi="Times New Roman;serif"/>
          <w:b w:val="false"/>
          <w:color w:val="000000"/>
          <w:sz w:val="24"/>
        </w:rPr>
        <w:t>will refer to the initial installment of twenty percent (20%) of the Award and to each installment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Except as otherwise expressly provided in Sections 5 or 6 below, if Participant’s employment terminates for any reason prior to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Vesting Commencement Date, then any Tranche that has not satisfied the Time-Based Vesting Condition pursuant to this Section 2 will be forfeited and cancelled for no consideration in respect thereof.</w:t>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The Performance-Based Vesting Condition for each Tranche will be measured on the Measurement Date on which the Time-Based Vesting Condition for such Tranche is satisfied and on up to four Measurement Dates immediately following such Measurement Date (or such fewer number of Measurement Dates that remain in the Performance Period, if applicable). If the Company Stock Price equals or exceeds the Baseline Price as of any of such Measurement Dates, then the Performance-Based Vesting Condition of the applicable Tranche will be satisfied. If the Company Stock Price does not equal or exceed the Baseline Price as of any of such Measurement Dates then, as of the last of such Measurement Dates, the Tranche will be automatically forfeited and cancelled for no consideration in respect thereof.</w:t>
      </w:r>
    </w:p>
    <w:p>
      <w:pPr>
        <w:pStyle w:val="TextBody"/>
        <w:bidi w:val="0"/>
        <w:spacing w:lineRule="auto" w:line="288"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if applicable,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xml:space="preserve">. In the event Participant experiences a Non-CIC Qualifying Termination during the Performance Period, then, notwithstanding anything herein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contrary, one-tenth (1/10th) of the Award (or, if less than one-tenth (1/10th) of the Award remains outstanding as of the Termination Date, then the then-outstanding portion of the Award) will be deemed to have satisfied the Time-Based Vesting Condition and will vest upon the Termination Date (regardless of the Company Stock Price as of such date). For the avoidance of doubt, any Tranche for which the Time-Based Vesting Condition is not satisfied pursuant to this Section 5 shall be forfeited and cancelled as of the Termination Date for no consideration in respect thereof.</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as of the Change in Control Date, the Change in Control Price equals or exceeds the Baseline Price, then all unvested PSUs shall remain outstanding and eligible to vest upon the achievement of the applicable Time-Based Vesting Condition. If, as of the Change in Control Date, the Change in Control Price does not equal or exceed the Baseline Price, then all unvested PSUs will be forfeited and cancelled as of the Change in Control Date for no consideration in respect thereof.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CIC Qualifying Termination and PSUs remain outstanding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then (i) as of the later of the Change in Control Date and the Termination Date, the Time-Based Vesting Condition will be deemed to be satisfied with respect to a number of PSUs equal to (A) the product of (1) the total number of PSUs granted pursuant to the Award and (2) the CIC Performance Factor, minus (B) the number of PSUs that have already vested prior to the CIC Qualifying Termination and (ii) any PSUs that do not become vested pursuant to clause (i) will be forfeited and cancelled for no consideration in respect thereof. </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execution and non-revocation of a Release within the applicable time period set forth in the Severance Plan. </w:t>
      </w:r>
    </w:p>
    <w:p>
      <w:pPr>
        <w:pStyle w:val="TextBody"/>
        <w:bidi w:val="0"/>
        <w:spacing w:lineRule="auto" w:line="288"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end of the Performance Period, all unvested PSUs shall be forfeited and cancelled for no consideration in respect thereof. </w:t>
      </w:r>
    </w:p>
    <w:p>
      <w:pPr>
        <w:pStyle w:val="TextBody"/>
        <w:bidi w:val="0"/>
        <w:spacing w:lineRule="auto" w:line="288"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Baseline Price</w:t>
      </w:r>
      <w:r>
        <w:rPr>
          <w:color w:val="000000"/>
        </w:rPr>
        <w:t xml:space="preserve">” </w:t>
      </w:r>
      <w:r>
        <w:rPr>
          <w:rFonts w:ascii="Times New Roman;serif" w:hAnsi="Times New Roman;serif"/>
          <w:b w:val="false"/>
          <w:color w:val="000000"/>
          <w:sz w:val="24"/>
        </w:rPr>
        <w:t xml:space="preserve">means $6.24.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 xml:space="preserve">means (i) if the Change in Control Price is equal to or greater than $25.00 but less than $29.00, a fraction, the numerator of which is equal to five (5) and the denominator of which is equal to seven (7), (ii) if the Change in Control Price is </w:t>
      </w:r>
    </w:p>
    <w:p>
      <w:pPr>
        <w:pStyle w:val="TextBody"/>
        <w:bidi w:val="0"/>
        <w:spacing w:before="0" w:after="0"/>
        <w:jc w:val="center"/>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1155"/>
                <wp:effectExtent l="0" t="0" r="0" b="0"/>
                <wp:wrapNone/>
                <wp:docPr id="164" name="Frame1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equal to or greater than $29.00 but less than $33.00, a fraction, the numerator of which is equal to six (6) and the denominator of which is equal to seven (7) or (iii) if the Change in Control Price is equal to or greater than $33.00, one (1).</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means the average closing price of a Share on the Securities Exchange for any consecutive period of thirty (30) Trading Days that ends on the last Trading Day immediately preceding an applicable Measurement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 xml:space="preserve">shall have the meaning set forth in the Company’s long-term disability plan, as in effect from time to time (or, if no such plan is then in effect, as such term was most recently defined therein).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Non-CIC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means the period beginning on the Vesting Commencement Date and ending on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Vesting Commencement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Release</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means the last day of Participant’s employment with the Company or Subsidiary,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1155"/>
                <wp:effectExtent l="0" t="0" r="0" b="0"/>
                <wp:wrapNone/>
                <wp:docPr id="165" name="Frame1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Attachment B</w:t>
      </w:r>
    </w:p>
    <w:p>
      <w:pPr>
        <w:pStyle w:val="TextBody"/>
        <w:bidi w:val="0"/>
        <w:spacing w:before="0" w:after="0"/>
        <w:jc w:val="center"/>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SECOND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2022 Inducement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xml:space="preserve">), both of which are incorporated into this Grant Notice by reference. </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Giang Nguyen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4,100,000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Vesting Commencement Date: </w:t>
      </w:r>
      <w:r>
        <w:rPr>
          <w:rFonts w:ascii="Arial;sans-serif" w:hAnsi="Arial;sans-serif"/>
          <w:b w:val="false"/>
          <w:color w:val="000000"/>
          <w:sz w:val="18"/>
        </w:rPr>
        <w:t>[●], 2025</w:t>
      </w:r>
      <w:r>
        <w:rPr>
          <w:rFonts w:ascii="Arial;sans-serif" w:hAnsi="Arial;sans-serif"/>
          <w:b w:val="false"/>
          <w:color w:val="000000"/>
          <w:sz w:val="12"/>
        </w:rPr>
        <w:t>2</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this Grant Notice, the Plan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2649"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09"/>
        <w:gridCol w:w="109"/>
        <w:gridCol w:w="109"/>
        <w:gridCol w:w="391"/>
        <w:gridCol w:w="391"/>
        <w:gridCol w:w="55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Giang Nguyen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Vesting Commencement Date will be the 15th day of the calendar month in which the Start Date falls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1155"/>
                <wp:effectExtent l="0" t="0" r="0" b="0"/>
                <wp:wrapNone/>
                <wp:docPr id="166" name="Frame1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B</w:t>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lineRule="auto" w:line="288"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the Participant. The Award is being granted pursuant to the Nasdaq “inducement award” exception under Nasdaq Listing Rule 5635(c)(4) and all terms and conditions of this Award shall be interpreted and applied consistently with such rule.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88"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88"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before="0" w:after="0"/>
        <w:jc w:val="center"/>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1155"/>
                <wp:effectExtent l="0" t="0" r="0" b="0"/>
                <wp:wrapNone/>
                <wp:docPr id="168" name="Frame1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awarding, vesting or payment of the PSUs or the subsequent sale of Shares. The Company and its Subsidiaries do not commit and are under no obligation to structure the PSUs to reduce or eliminate Participant’s tax liability.</w:t>
      </w:r>
    </w:p>
    <w:p>
      <w:pPr>
        <w:pStyle w:val="TextBody"/>
        <w:bidi w:val="0"/>
        <w:spacing w:lineRule="auto" w:line="288"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76"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76"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76"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forth in this Agreement or the Plan, this Agreement will be binding upon and inure to the benefit of the heirs, legatees, legal representatives, successors and permitted assigns of the parties hereto.</w:t>
      </w:r>
    </w:p>
    <w:p>
      <w:pPr>
        <w:pStyle w:val="TextBody"/>
        <w:bidi w:val="0"/>
        <w:spacing w:lineRule="auto" w:line="276"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xml:space="preserve">.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w:t>
      </w:r>
    </w:p>
    <w:p>
      <w:pPr>
        <w:pStyle w:val="TextBody"/>
        <w:bidi w:val="0"/>
        <w:spacing w:before="0" w:after="0"/>
        <w:jc w:val="center"/>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1155"/>
                <wp:effectExtent l="0" t="0" r="0" b="0"/>
                <wp:wrapNone/>
                <wp:docPr id="169" name="Frame1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76"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hereto) constitute the entire agreement of the parties and supersede in their entirety all prior undertakings and agreements of the Company and Participant with respect to the subject matter hereof. Participant agrees and acknowledges that Participant has received and read a copy of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Special Provisions for Bahamas</w:t>
      </w:r>
      <w:r>
        <w:rPr>
          <w:rFonts w:ascii="Times New Roman;serif" w:hAnsi="Times New Roman;serif"/>
          <w:b w:val="false"/>
          <w:color w:val="000000"/>
          <w:sz w:val="24"/>
        </w:rPr>
        <w:t>. Notwithstanding any other provision of this Agreement or the Plan to the contrary:</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acknowledges that the grant, vesting, and settlement of this Award may be subject to the securities laws of The Bahamas, including the Securities Industry Act, 2024 and any successor legislation. The Company shall cooperate in good faith to facilitate any required filings, exemptions, or disclosures with the Securities Commission of The Bahamas.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Participant understands that, as a resident of The Bahamas, holding or receiving foreign securities or related proceeds may require prior approval under the Exchange Control Regulations Act. Participant agrees to seek any necessary approvals, and the Company </w:t>
      </w:r>
    </w:p>
    <w:p>
      <w:pPr>
        <w:pStyle w:val="TextBody"/>
        <w:bidi w:val="0"/>
        <w:spacing w:before="0" w:after="0"/>
        <w:jc w:val="center"/>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1155"/>
                <wp:effectExtent l="0" t="0" r="0" b="0"/>
                <wp:wrapNone/>
                <wp:docPr id="170" name="Frame1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provide reasonable assistance in connection with such applications, including documentation of the award terms and valuation.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makes no representations regarding the tax treatment of this Award under Bahamian law. Participant is solely responsible for complying with any applicable tax reporting or payment obligations arising from the grant, vesting, or settlement of this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extent required by the laws of The Bahamas, this Agreement shall be interpreted in a manner consistent with such laws, provided that no provision herein shall be deemed to create an employment relationship under Bahamian law.</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1155"/>
                <wp:effectExtent l="0" t="0" r="0" b="0"/>
                <wp:wrapNone/>
                <wp:docPr id="171" name="Frame1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B-5</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Name: Giang Nguyen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76"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B</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PSU VESTING CONDITIONS (SECOND SIGN-ON AWARD)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10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 xml:space="preserve">Vesting </w:t>
      </w:r>
      <w:r>
        <w:rPr>
          <w:rFonts w:ascii="Times New Roman;serif" w:hAnsi="Times New Roman;serif"/>
          <w:b w:val="false"/>
          <w:color w:val="000000"/>
          <w:sz w:val="24"/>
        </w:rPr>
        <w:t xml:space="preserve">Conditions.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76"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xml:space="preserve">. Except as set forth in Sections 5 or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on the date on which the Company Stock Price meets or exceeds the dollar value specified in any of the rows below in the column entitled “Stock Price Hurdle” (each, a “</w:t>
      </w:r>
      <w:r>
        <w:rPr>
          <w:rFonts w:ascii="Times New Roman;serif" w:hAnsi="Times New Roman;serif"/>
          <w:b w:val="false"/>
          <w:i/>
          <w:color w:val="000000"/>
          <w:sz w:val="24"/>
        </w:rPr>
        <w:t>Stock Price Hurdle</w:t>
      </w:r>
      <w:r>
        <w:rPr>
          <w:color w:val="000000"/>
        </w:rPr>
        <w:t>”</w:t>
      </w:r>
      <w:r>
        <w:rPr>
          <w:rFonts w:ascii="Times New Roman;serif" w:hAnsi="Times New Roman;serif"/>
          <w:b w:val="false"/>
          <w:color w:val="000000"/>
          <w:sz w:val="24"/>
        </w:rPr>
        <w:t>) at any point during the Performance Period, the Performance-Based Vesting Condition will be satisfied with respect to (a) the number of PSUs listed in the table below directly across from such Stock Price Hurdle (each, a “</w:t>
      </w:r>
      <w:r>
        <w:rPr>
          <w:rFonts w:ascii="Times New Roman;serif" w:hAnsi="Times New Roman;serif"/>
          <w:b w:val="false"/>
          <w:i/>
          <w:color w:val="000000"/>
          <w:sz w:val="24"/>
        </w:rPr>
        <w:t>Tranche</w:t>
      </w:r>
      <w:r>
        <w:rPr>
          <w:color w:val="000000"/>
        </w:rPr>
        <w:t>”</w:t>
      </w:r>
      <w:r>
        <w:rPr>
          <w:rFonts w:ascii="Times New Roman;serif" w:hAnsi="Times New Roman;serif"/>
          <w:b w:val="false"/>
          <w:color w:val="000000"/>
          <w:sz w:val="24"/>
        </w:rPr>
        <w:t>) and (b) each preceding Tranche solely to the extent that the Stock Price Hurdles applicable to each such Tranche have not already been achieved. The Committee will certify attainment of the Stock Price Hurdle within ten (10) days thereafter. For the avoidance of doubt, once a Stock Price Hurdle has been achieved during the Performance Period, (a) it will forever be treated as having been achieved, regardless of any subsequent changes in the trading price of a Share and (b) such Stock Price Hurdle cannot be achieved again.</w:t>
      </w:r>
    </w:p>
    <w:tbl>
      <w:tblPr>
        <w:tblW w:w="4127" w:type="dxa"/>
        <w:jc w:val="left"/>
        <w:tblInd w:w="0" w:type="dxa"/>
        <w:tblLayout w:type="fixed"/>
        <w:tblCellMar>
          <w:top w:w="28" w:type="dxa"/>
          <w:left w:w="28" w:type="dxa"/>
          <w:bottom w:w="28" w:type="dxa"/>
          <w:right w:w="28" w:type="dxa"/>
        </w:tblCellMar>
      </w:tblPr>
      <w:tblGrid>
        <w:gridCol w:w="359"/>
        <w:gridCol w:w="315"/>
        <w:gridCol w:w="317"/>
        <w:gridCol w:w="734"/>
        <w:gridCol w:w="734"/>
        <w:gridCol w:w="737"/>
        <w:gridCol w:w="271"/>
        <w:gridCol w:w="271"/>
        <w:gridCol w:w="38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Tranche</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Stock Price Hurdle</w:t>
            </w:r>
            <w:r>
              <w:rPr>
                <w:rFonts w:ascii="Times New Roman;serif" w:hAnsi="Times New Roman;serif"/>
                <w:b/>
                <w:color w:val="000000"/>
                <w:sz w:val="16"/>
              </w:rPr>
              <w:t>(1)</w:t>
            </w:r>
          </w:p>
        </w:tc>
        <w:tc>
          <w:tcPr>
            <w:tcW w:w="931"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PSUs </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$29.00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585,715</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22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$33.00</w:t>
            </w:r>
          </w:p>
        </w:tc>
        <w:tc>
          <w:tcPr>
            <w:tcW w:w="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585,715</w:t>
            </w:r>
          </w:p>
        </w:tc>
      </w:tr>
    </w:tbl>
    <w:p>
      <w:pPr>
        <w:pStyle w:val="TextBody"/>
        <w:bidi w:val="0"/>
        <w:spacing w:lineRule="auto" w:line="276" w:before="0" w:after="180"/>
        <w:jc w:val="left"/>
        <w:rPr/>
      </w:pPr>
      <w:r>
        <w:rPr>
          <w:rFonts w:ascii="Times New Roman;serif" w:hAnsi="Times New Roman;serif"/>
          <w:b w:val="false"/>
          <w:color w:val="000000"/>
          <w:sz w:val="20"/>
        </w:rPr>
        <w:t>(1)    </w:t>
      </w:r>
      <w:r>
        <w:rPr>
          <w:rFonts w:ascii="Times New Roman;serif" w:hAnsi="Times New Roman;serif"/>
          <w:b w:val="false"/>
          <w:color w:val="000000"/>
          <w:sz w:val="20"/>
          <w:shd w:fill="FFFFFF" w:val="clear"/>
        </w:rPr>
        <w:t>The Stock Price Hurdles will be adjusted as appropriate to reflect any stock splits, stock dividends, combinations, reorganizations, reclassifications or similar event, in accordance with the terms of the Plan and the Agreement. The Committee, in order to prevent diminution or enlargement of the benefits or potential benefits intended to be made available under the Agreement, will make the determination of any such adjustments required in connection with any such event. For the avoidance of doubt, the adjustment provisions contained in the Plan (as modified in the Agreement) are incorporated herein by reference herein.</w:t>
      </w:r>
    </w:p>
    <w:p>
      <w:pPr>
        <w:pStyle w:val="TextBody"/>
        <w:bidi w:val="0"/>
        <w:spacing w:lineRule="auto" w:line="276"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provided in Sections 5 or 6 of this </w:t>
      </w:r>
      <w:r>
        <w:rPr>
          <w:rFonts w:ascii="Times New Roman;serif" w:hAnsi="Times New Roman;serif"/>
          <w:b w:val="false"/>
          <w:color w:val="000000"/>
          <w:sz w:val="24"/>
          <w:u w:val="single"/>
        </w:rPr>
        <w:t xml:space="preserve">Exhibit </w:t>
      </w:r>
      <w:r>
        <w:rPr>
          <w:rFonts w:ascii="Times New Roman;serif" w:hAnsi="Times New Roman;serif"/>
          <w:b w:val="false"/>
          <w:color w:val="000000"/>
          <w:sz w:val="24"/>
        </w:rPr>
        <w:t xml:space="preserve">B, subject to Participant’s continued employment with the Company and its affiliates through the applicable date, the Time-Based Vesting Condition shall be satisfied as to (i) Tranche 1 on the six (6)-month anniversary of the Vesting Commencement Date; (ii) Tranche 2 in four substantially equal installments starting on the date that is three (3) months after the six (6)-month anniversary of the Vesting Commencement Date and continuing on each date that is three (3) months thereafter; (iii) Tranche 3 in four substantially equal installments starting on the date that is three (3) months after the eighteen (18)-month anniversary of the Vesting Commencement Date and continuing on </w:t>
      </w:r>
    </w:p>
    <w:p>
      <w:pPr>
        <w:pStyle w:val="TextBody"/>
        <w:bidi w:val="0"/>
        <w:spacing w:before="0" w:after="0"/>
        <w:jc w:val="center"/>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73"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each date that is three (3) months thereafter; (iv) Tranches 4 and 5 in four substantially equal installments starting on the date that is three (3) months after the two and one-half (2.5) year anniversary of the Vesting Commencement Date and continuing on each date that is three (3) months thereafter; (v) Tranche 6 in four substantially equal installments starting on the date that is three (3) months after the three and one-half (3.5) year anniversary of the Vesting Commencement Date and continuing on each date that is three (3) months thereafter; and (vi) Tranche 7 in four substantially equal installments starting on the date that is three (3) months after the fourth (4</w:t>
      </w:r>
      <w:r>
        <w:rPr>
          <w:rFonts w:ascii="Times New Roman;serif" w:hAnsi="Times New Roman;serif"/>
          <w:b w:val="false"/>
          <w:color w:val="000000"/>
          <w:sz w:val="16"/>
        </w:rPr>
        <w:t>th</w:t>
      </w:r>
      <w:r>
        <w:rPr>
          <w:rFonts w:ascii="Times New Roman;serif" w:hAnsi="Times New Roman;serif"/>
          <w:b w:val="false"/>
          <w:color w:val="000000"/>
          <w:sz w:val="24"/>
        </w:rPr>
        <w:t xml:space="preserve">) anniversary of the Vesting Commencement Date and continuing on each date that is three (3) months thereafter, such that the Time-Based Vesting Condition shall be satisfied with respect to one hundred percent (100%) of the Award on the fifth (5th) anniversary of the Vesting Commencement Date. If Participant’s employment with the Company and its affiliates terminates for any reason prior to the fifth (5th) anniversary of the Vesting Commencement Date, then, except as set forth in Section 5 and Section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any PSUs that have not satisfied the Time-Based Vesting Condition pursuant to this Section 3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that Participant experiences a termination of employment due to Participant’s death or Disability then, notwithstanding anything herein to the contrary, any Tranche that, as of the Termination Date, has met the Performance-Based Vesting Condition (other than by reason of a Change in Control) but has not met the Time-Based Vesting Condition will be deemed to have met the Time-Based Vesting Condition and will automatically vest as of the Termination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that Participant experiences a Non-CIC Qualifying Termination, then, notwithstanding anything herein to the contrary, (i) for purposes of determining whether any Time-Based Vesting Condition has been satisfied, Participant will be deemed to have remained employed through the Tail Period and (ii) the Tranche with the lowest associated Stock Price Hurdle of the Tranches for which the Performance-Based Vesting Condition has not been met as of the Termination Date (if any) will remain outstanding and eligible to satisfy the Performance-Based Vesting Condition during the Tail Period. After the end of the Tail Period, the Committee will determine whether any additional PSUs have become vested by virtue of satisfying both the Performance-Based Vesting Condition and the Time-Based Vesting Condition and any such PSUs will vest as of the last day of the Tail Period. </w:t>
      </w:r>
    </w:p>
    <w:p>
      <w:pPr>
        <w:pStyle w:val="TextBody"/>
        <w:bidi w:val="0"/>
        <w:spacing w:lineRule="auto" w:line="276"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Participant’s termination of employment, any PSUs that do not become vested pursuant to Section 5(a) or 5(b), or pursuant to Section 6 (if applicable),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Upon the Change in Control Date, any Tranche for which the Performance-Based Vesting Condition has not been achieved prior to the Change in Control Date and that corresponds </w:t>
      </w:r>
    </w:p>
    <w:p>
      <w:pPr>
        <w:pStyle w:val="TextBody"/>
        <w:bidi w:val="0"/>
        <w:spacing w:before="0" w:after="0"/>
        <w:jc w:val="center"/>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1155"/>
                <wp:effectExtent l="0" t="0" r="0" b="0"/>
                <wp:wrapNone/>
                <wp:docPr id="174" name="Frame1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a Stock Price Hurdle that is less than or equal to the Change in Control Price will be deemed to have satisfied the Performance-Based Vesting Condition and will remain outstanding and eligible to vest, subject to achievement of the Time-Based Vesting Condition. Any Tranche for which the Performance-Based Vesting Condition has not been achieved as of the Change in Control Date as described in this Section 6 will be forfeited and cancelled for no consideration in respect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CIC Qualifying Termination, then (i) as of the later of the Change in Control Date and the Termination Date, the Time-Based Vesting Condition will be deemed to be satisfied with respect to a number of PSUs equal to (A) the product of (1) the total number of PSUs granted pursuant to the Award and (2) the CIC Performance Factor, minus (B) the sum of (x) the number of PSUs that have already vested prior to the Qualifying Termination and (y) the number of PSUs that were forfeited and cancelled for no consideration in respect thereof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provided that if clause (B) is greater than clause (A), then no additional PSUs will vest and (ii) any PSUs that do not become vested pursuant to clause (i) will be forfeited and cancelled for no consideration in respect thereof. </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execution and non-revocation of a Release within the applicable time period set forth in the Severance Plan. </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expiration of the Performance Period, each Tranche for which either (or both) of the Performance-Based Vesting Condition or the Time-Based Vesting Condition has not been satisfied will be forfeited and cancelled for no consideration in respect thereof. </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Dividend Equivalents</w:t>
      </w:r>
      <w:r>
        <w:rPr>
          <w:rFonts w:ascii="Times New Roman;serif" w:hAnsi="Times New Roman;serif"/>
          <w:b w:val="false"/>
          <w:color w:val="000000"/>
          <w:sz w:val="24"/>
        </w:rPr>
        <w:t>. Each Tranche that has met the Performance-Based Vesting Condition but has not met the Time-Based Vesting Condition will accrue Dividend Equivalents from the date on which the Performance-Based Vesting Condition is met until the earlier of (a) the date on which the Time-Based Vesting Condition is met and (b) the date on which the Tranche is forfeited. Dividend Equivalents will be subject to the same Time-Based Vesting Conditions and the same settlement terms as the Tranche with respect to which they are credited.</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 xml:space="preserve">means (i) if the Change in Control Price is equal to or greater than $25.00 but less than $29.00, a fraction, the numerator of which is equal to five (5) and the denominator of which is equal to seven (7), (ii) if the Change in Control Price is equal to or greater than $29.00 but less than $33.00, a fraction, the numerator of which is equal to six (6) and </w:t>
      </w:r>
    </w:p>
    <w:p>
      <w:pPr>
        <w:pStyle w:val="TextBody"/>
        <w:bidi w:val="0"/>
        <w:spacing w:before="0" w:after="0"/>
        <w:jc w:val="center"/>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1155"/>
                <wp:effectExtent l="0" t="0" r="0" b="0"/>
                <wp:wrapNone/>
                <wp:docPr id="175" name="Frame1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denominator of which is equal to seven (7) or (iii) if the Change in Control Price is equal to or greater than $33.00, one (1).</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 xml:space="preserve">means the average closing price of a Share on the Securities Exchange for any consecutive period of thirty (30) Trading Days that both begins and ends during the Performance Period. </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shall have the meaning set forth in the Company’s long-term disability plan, as in effect from time to time (or, if no such plan is then in effect, as such term was most recently defined therein).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Non-CIC</w:t>
      </w:r>
      <w:r>
        <w:rPr>
          <w:color w:val="000000"/>
        </w:rPr>
        <w:t xml:space="preserve"> </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 xml:space="preserve">means the period commencing on the first anniversary of the Vesting Commencement Date and ending on the fifth anniversary of the Vesting Commencement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Release</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Tail Period</w:t>
      </w:r>
      <w:r>
        <w:rPr>
          <w:color w:val="000000"/>
        </w:rPr>
        <w:t xml:space="preserve">” </w:t>
      </w:r>
      <w:r>
        <w:rPr>
          <w:rFonts w:ascii="Times New Roman;serif" w:hAnsi="Times New Roman;serif"/>
          <w:b w:val="false"/>
          <w:color w:val="000000"/>
          <w:sz w:val="24"/>
        </w:rPr>
        <w:t>means, if Participant experiences a Qualifying Termination, the consecutive period of sixty (60) Trading Days beginning on the first Trading Day immediately following the Termination Date (or such shorter period of consecutive Trading Days that commences on the first Trading Day immediately following the Termination Date and ends on the last day of the Performance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shall mean the last day of Participant’s employment with the Company or Subsidiary,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before="0" w:after="0"/>
        <w:jc w:val="center"/>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1155"/>
                <wp:effectExtent l="0" t="0" r="0" b="0"/>
                <wp:wrapNone/>
                <wp:docPr id="176" name="Frame1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1155"/>
                <wp:effectExtent l="0" t="0" r="0" b="0"/>
                <wp:wrapNone/>
                <wp:docPr id="177" name="Frame1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C</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OPENDOOR LABS INC.</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EMPLOYEE CONFIDENTIAL INFORMATION AND INVENTION ASSIGNMENT AGREEMENT</w:t>
      </w:r>
    </w:p>
    <w:p>
      <w:pPr>
        <w:pStyle w:val="TextBody"/>
        <w:bidi w:val="0"/>
        <w:spacing w:before="0" w:after="240"/>
        <w:ind w:left="0" w:right="0" w:firstLine="10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96" w:before="0" w:after="240"/>
        <w:ind w:left="0" w:right="0" w:firstLine="1080"/>
        <w:jc w:val="center"/>
        <w:rPr>
          <w:rFonts w:ascii="Times New Roman;serif" w:hAnsi="Times New Roman;serif"/>
          <w:b/>
          <w:color w:val="000000"/>
          <w:sz w:val="24"/>
        </w:rPr>
      </w:pPr>
      <w:r>
        <w:rPr>
          <w:rFonts w:ascii="Times New Roman;serif" w:hAnsi="Times New Roman;serif"/>
          <w:b/>
          <w:color w:val="000000"/>
          <w:sz w:val="24"/>
        </w:rPr>
        <w:t>Attachment D</w:t>
      </w:r>
    </w:p>
    <w:p>
      <w:pPr>
        <w:pStyle w:val="TextBody"/>
        <w:bidi w:val="0"/>
        <w:spacing w:lineRule="auto" w:line="696" w:before="0" w:after="240"/>
        <w:ind w:left="0" w:right="0" w:firstLine="1080"/>
        <w:jc w:val="center"/>
        <w:rPr>
          <w:rFonts w:ascii="Times New Roman;serif" w:hAnsi="Times New Roman;serif"/>
          <w:b/>
          <w:color w:val="000000"/>
          <w:sz w:val="22"/>
        </w:rPr>
      </w:pPr>
      <w:r>
        <w:rPr>
          <w:rFonts w:ascii="Times New Roman;serif" w:hAnsi="Times New Roman;serif"/>
          <w:b/>
          <w:color w:val="000000"/>
          <w:sz w:val="22"/>
        </w:rPr>
        <w:t>NOTICE OF PARTICIPATION</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4"/>
        </w:rPr>
      </w:pPr>
      <w:r>
        <w:rPr>
          <w:rFonts w:ascii="Times New Roman;serif" w:hAnsi="Times New Roman;serif"/>
          <w:b/>
          <w:color w:val="000000"/>
          <w:sz w:val="24"/>
        </w:rPr>
        <w:t>Exhibit 10.39</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Opendoor Operations Canada Inc.</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December 12, 2025</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Lucas Matheson</w:t>
        <w:br/>
        <w:t>VIA 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Lucas:</w:t>
      </w:r>
    </w:p>
    <w:p>
      <w:pPr>
        <w:pStyle w:val="TextBody"/>
        <w:bidi w:val="0"/>
        <w:spacing w:lineRule="auto" w:line="288" w:before="0" w:after="240"/>
        <w:ind w:left="0" w:right="0" w:firstLine="720"/>
        <w:jc w:val="left"/>
        <w:rPr/>
      </w:pPr>
      <w:r>
        <w:rPr>
          <w:rFonts w:ascii="Times New Roman;serif" w:hAnsi="Times New Roman;serif"/>
          <w:b w:val="false"/>
          <w:color w:val="000000"/>
          <w:sz w:val="24"/>
        </w:rPr>
        <w:t>Opendoor Operations Canada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is pleased to offer you employment on the terms described in 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Your employment will commence as soon as reasonably practicable following the date of this Agreement, but in no event later than December 24, 2025 (the “</w:t>
      </w:r>
      <w:r>
        <w:rPr>
          <w:rFonts w:ascii="Times New Roman;serif" w:hAnsi="Times New Roman;serif"/>
          <w:b w:val="false"/>
          <w:color w:val="000000"/>
          <w:sz w:val="24"/>
          <w:u w:val="single"/>
        </w:rPr>
        <w:t>Start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 During your employment, you will serve as the President of the Company. As President of the Company, you will report to the Chief Executive Officer of the Company, and you will be responsible for performing such duties as are customarily associated with such position, and such other responsibilities as may be assigned to you by the Company. During your employment with the Company, you will devote your reasonable best efforts and substantially all of your business time and attention to the business of Opendoor Technologies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the Company and its subsidiaries (together,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except for approved vacation periods and reasonable periods of illness or other incapacities permitted by the Company Group’s general employment policies. </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Work Location and Residence</w:t>
      </w:r>
      <w:r>
        <w:rPr>
          <w:rFonts w:ascii="Times New Roman;serif" w:hAnsi="Times New Roman;serif"/>
          <w:b w:val="false"/>
          <w:color w:val="000000"/>
          <w:sz w:val="24"/>
        </w:rPr>
        <w:t xml:space="preserve">. You will work primarily from one or more of the Company Group’s offices, as selected by you in your reasonable discretion. </w: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Salary/Sign-On Bonus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Your annual base salary will be five hundred thousand dollars ($500,000) USD. As an exempt salaried employee, you will be required to work the Company’s normal business hours, and such additional time as appropriate for your work assignments and position, and you will not be entitled to overtime compensation. The Company may change your base salary from time to time with reasonable advance notice, subject to the terms and conditions set forth herein.</w:t>
      </w:r>
    </w:p>
    <w:p>
      <w:pPr>
        <w:pStyle w:val="TextBody"/>
        <w:bidi w:val="0"/>
        <w:spacing w:lineRule="auto" w:line="288"/>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Sign-On/Retention Bonus</w:t>
      </w:r>
      <w:r>
        <w:rPr>
          <w:rFonts w:ascii="Times New Roman;serif" w:hAnsi="Times New Roman;serif"/>
          <w:b w:val="false"/>
          <w:color w:val="000000"/>
          <w:sz w:val="24"/>
        </w:rPr>
        <w:t>.     In addition, in consideration of your acceptance of this offer and continued employment with the Company, you will be eligible to receive a sign-on/retention bonus in the gross amount of $200,000 USD, less applicable taxes and withholdings, to be paid on January 1, 2026. The bonus is an advance against future service and will not be deemed fully earned until the first anniversary of the Start Date (the “</w:t>
      </w:r>
      <w:r>
        <w:rPr>
          <w:rFonts w:ascii="Times New Roman;serif" w:hAnsi="Times New Roman;serif"/>
          <w:b w:val="false"/>
          <w:color w:val="000000"/>
          <w:sz w:val="24"/>
          <w:u w:val="single"/>
        </w:rPr>
        <w:t>Sign-On/Retention Bonus Vesting Date</w:t>
      </w:r>
      <w:r>
        <w:rPr>
          <w:color w:val="000000"/>
        </w:rPr>
        <w:t>”</w:t>
      </w:r>
      <w:r>
        <w:rPr>
          <w:rFonts w:ascii="Times New Roman;serif" w:hAnsi="Times New Roman;serif"/>
          <w:b w:val="false"/>
          <w:color w:val="000000"/>
          <w:sz w:val="24"/>
        </w:rPr>
        <w:t xml:space="preserve">), provided you remain continuously employed with the Company through that date. If your employment terminates for any reason - whether voluntary or involuntary, with or without cause, prior to the Sign-On/Retention Bonus Vesting Date, you agree to promptly repay the Company the unearned, pro-rata portion of the bonus calculated based on the number of days remaining in the one-year period following the Start Date. You authorize the Company, to the fullest extent permitted by law, to deduct any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25780"/>
                <wp:effectExtent l="0" t="0" r="0" b="0"/>
                <wp:wrapNone/>
                <wp:docPr id="180" name="Frame17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outstanding repayment obligation from your final paycheck and any other amounts payable to you, and you agree to repay any remaining balance within thirty (30) days of your separation.</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will be eligible to participate in all of the employee benefit plans or programs the Company generally makes available to similarly situated employees, pursuant to the terms and conditions of such plans. You will be eligible for Company-paid holidays and paid time off in accordance with the Company’s policies. The Company may, from time to time, change these benefits in its discretion, provided that you shall be treated no less favorably than similarly situated employees. Additional information regarding these benefits is available for your review upon request.</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Equity</w:t>
      </w:r>
      <w:r>
        <w:rPr>
          <w:rFonts w:ascii="Times New Roman;serif" w:hAnsi="Times New Roman;serif"/>
          <w:b w:val="false"/>
          <w:color w:val="000000"/>
          <w:sz w:val="24"/>
        </w:rPr>
        <w:t>. The sign-on equity awards described in this paragraph 5 are intended to be your exclusive long-term incentive compensation from the Company Group during the performance and vesting periods covered by such awards. The actual number of shares of Parent’s common stock covered by each such sign-on equity award will be determined using the trailing twenty (20) trading-day average closing price as of the day prior to the Start Date.</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First Sign-On PSU Award</w:t>
      </w:r>
      <w:r>
        <w:rPr>
          <w:rFonts w:ascii="Times New Roman;serif" w:hAnsi="Times New Roman;serif"/>
          <w:b w:val="false"/>
          <w:color w:val="000000"/>
          <w:sz w:val="24"/>
        </w:rPr>
        <w:t>.  Subject to the approval of the Board of Directors or Compensation Committee of Parent, as soon as practicable following the Start Date, Parent will grant you an award of performance-based RSUs with a stock price performance gate with an initial value of $6,000,000 USD (the “</w:t>
      </w:r>
      <w:r>
        <w:rPr>
          <w:rFonts w:ascii="Times New Roman;serif" w:hAnsi="Times New Roman;serif"/>
          <w:b w:val="false"/>
          <w:color w:val="000000"/>
          <w:sz w:val="24"/>
          <w:u w:val="single"/>
        </w:rPr>
        <w:t>First Sign-On PSU Award</w:t>
      </w:r>
      <w:r>
        <w:rPr>
          <w:color w:val="000000"/>
        </w:rPr>
        <w:t>”</w:t>
      </w:r>
      <w:r>
        <w:rPr>
          <w:rFonts w:ascii="Times New Roman;serif" w:hAnsi="Times New Roman;serif"/>
          <w:b w:val="false"/>
          <w:color w:val="000000"/>
          <w:sz w:val="24"/>
        </w:rPr>
        <w:t xml:space="preserve">). The First Sign-On PSU Award will be granted pursuant to the form of grant notice and award agreement attached to this Agreement as </w:t>
      </w:r>
      <w:r>
        <w:rPr>
          <w:rFonts w:ascii="Times New Roman;serif" w:hAnsi="Times New Roman;serif"/>
          <w:b w:val="false"/>
          <w:color w:val="000000"/>
          <w:sz w:val="24"/>
          <w:u w:val="single"/>
        </w:rPr>
        <w:t>Attachment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First Sign-On PSU Award Agreement</w:t>
      </w:r>
      <w:r>
        <w:rPr>
          <w:color w:val="000000"/>
        </w:rPr>
        <w:t>”</w:t>
      </w:r>
      <w:r>
        <w:rPr>
          <w:rFonts w:ascii="Times New Roman;serif" w:hAnsi="Times New Roman;serif"/>
          <w:b w:val="false"/>
          <w:color w:val="000000"/>
          <w:sz w:val="24"/>
        </w:rPr>
        <w:t>) and will be subject to all terms and conditions set forth in the First Sign-On PSU Award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Second Sign-On PSU Award</w:t>
      </w:r>
      <w:r>
        <w:rPr>
          <w:rFonts w:ascii="Times New Roman;serif" w:hAnsi="Times New Roman;serif"/>
          <w:b w:val="false"/>
          <w:color w:val="000000"/>
          <w:sz w:val="24"/>
        </w:rPr>
        <w:t>. Subject to the approval of the Board of Directors or Compensation Committee of Parent, as soon as practicable following the Start Date, the Company will grant you an award of performance-based RSUs with an initial value of $6,000,000 USD (the “</w:t>
      </w:r>
      <w:r>
        <w:rPr>
          <w:rFonts w:ascii="Times New Roman;serif" w:hAnsi="Times New Roman;serif"/>
          <w:b w:val="false"/>
          <w:color w:val="000000"/>
          <w:sz w:val="24"/>
          <w:u w:val="single"/>
        </w:rPr>
        <w:t>Second Sign-On PSU Award</w:t>
      </w:r>
      <w:r>
        <w:rPr>
          <w:color w:val="000000"/>
        </w:rPr>
        <w:t>”</w:t>
      </w:r>
      <w:r>
        <w:rPr>
          <w:rFonts w:ascii="Times New Roman;serif" w:hAnsi="Times New Roman;serif"/>
          <w:b w:val="false"/>
          <w:color w:val="000000"/>
          <w:sz w:val="24"/>
        </w:rPr>
        <w:t xml:space="preserve">). The Second Sign-On PSU Award will be granted pursuant to the form of grant notice and award agreement attached to this Agreement as </w:t>
      </w:r>
      <w:r>
        <w:rPr>
          <w:rFonts w:ascii="Times New Roman;serif" w:hAnsi="Times New Roman;serif"/>
          <w:b w:val="false"/>
          <w:color w:val="000000"/>
          <w:sz w:val="24"/>
          <w:u w:val="single"/>
        </w:rPr>
        <w:t>Attachment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Second Sign-On PSU Award Agreement</w:t>
      </w:r>
      <w:r>
        <w:rPr>
          <w:color w:val="000000"/>
        </w:rPr>
        <w:t>”</w:t>
      </w:r>
      <w:r>
        <w:rPr>
          <w:rFonts w:ascii="Times New Roman;serif" w:hAnsi="Times New Roman;serif"/>
          <w:b w:val="false"/>
          <w:color w:val="000000"/>
          <w:sz w:val="24"/>
        </w:rPr>
        <w:t xml:space="preserve">) and will be subject to all terms and conditions set forth in the Second Sign-On PSU Award Agreement. </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rPr>
        <w:t>Employment; Severance</w:t>
      </w:r>
      <w:r>
        <w:rPr>
          <w:rFonts w:ascii="Times New Roman;serif" w:hAnsi="Times New Roman;serif"/>
          <w:b w:val="false"/>
          <w:color w:val="000000"/>
          <w:sz w:val="24"/>
        </w:rPr>
        <w:t>. Unless prohibited by the the applicable employment standards legislation, as amended or replaced (the “</w:t>
      </w:r>
      <w:r>
        <w:rPr>
          <w:rFonts w:ascii="Times New Roman;serif" w:hAnsi="Times New Roman;serif"/>
          <w:b w:val="false"/>
          <w:color w:val="000000"/>
          <w:sz w:val="24"/>
          <w:u w:val="single"/>
        </w:rPr>
        <w:t>ESA</w:t>
      </w:r>
      <w:r>
        <w:rPr>
          <w:color w:val="000000"/>
        </w:rPr>
        <w:t>”</w:t>
      </w:r>
      <w:r>
        <w:rPr>
          <w:rFonts w:ascii="Times New Roman;serif" w:hAnsi="Times New Roman;serif"/>
          <w:b w:val="false"/>
          <w:color w:val="000000"/>
          <w:sz w:val="24"/>
        </w:rPr>
        <w:t>) or other Canadian provincial or federal law, employment with the Company is for no specific period of time and the Company may terminate your employment at any time and for any reason, with or without Cause (as defined in the Severance Plan) and with or without advance notice. Any contrary representations which may have been made to you are superseded by this offer. This is the full and complete agreement between you and the Company on this term. Your job duties, title, compensation and benefits, as well as the Company’s personnel policies and procedures, may change from time to time.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Company terminates your employment without Cause, you will be entitled to the greater of (i) the applicable minimum requirements of the ESA in respect of the termination of your employment (including, without limitation, all ESA requirements in respect of notice, termination pay, severance pay, wages, benefits, vacation pay, reprisal prohibitions and reinstatement); and (ii) severance upon certain qualifying terminations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1155"/>
                <wp:effectExtent l="0" t="0" r="0" b="0"/>
                <wp:wrapNone/>
                <wp:docPr id="181" name="Frame1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employment, as outlined in the Opendoor Technologies Inc. Executive Severance Plan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w:t>
      </w:r>
      <w:r>
        <w:rPr>
          <w:rFonts w:ascii="Times New Roman;serif" w:hAnsi="Times New Roman;serif"/>
          <w:b w:val="false"/>
          <w:color w:val="000000"/>
          <w:sz w:val="16"/>
        </w:rPr>
        <w:t>1</w:t>
      </w:r>
      <w:r>
        <w:rPr>
          <w:rFonts w:ascii="Times New Roman;serif" w:hAnsi="Times New Roman;serif"/>
          <w:b w:val="false"/>
          <w:color w:val="000000"/>
          <w:sz w:val="24"/>
        </w:rPr>
        <w:t>. By signing this Agreement and the Participation Agreement with respect to your participation in the Severance Plan, attached hereto as Attachment C (the “</w:t>
      </w:r>
      <w:r>
        <w:rPr>
          <w:rFonts w:ascii="Times New Roman;serif" w:hAnsi="Times New Roman;serif"/>
          <w:b w:val="false"/>
          <w:color w:val="000000"/>
          <w:sz w:val="24"/>
          <w:u w:val="single"/>
        </w:rPr>
        <w:t>Participation Agreement</w:t>
      </w:r>
      <w:r>
        <w:rPr>
          <w:color w:val="000000"/>
        </w:rPr>
        <w:t>”</w:t>
      </w:r>
      <w:r>
        <w:rPr>
          <w:rFonts w:ascii="Times New Roman;serif" w:hAnsi="Times New Roman;serif"/>
          <w:b w:val="false"/>
          <w:color w:val="000000"/>
          <w:sz w:val="24"/>
        </w:rPr>
        <w:t>), you acknowledge your designation as a Tier 2 Executive (as defined in the Severance Plan) in the Severance Plan and your understanding that you agree to all the terms and conditions of the Severance Plan.</w:t>
      </w:r>
    </w:p>
    <w:p>
      <w:pPr>
        <w:pStyle w:val="TextBody"/>
        <w:bidi w:val="0"/>
        <w:spacing w:lineRule="auto" w:line="276"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Expenses</w:t>
      </w:r>
      <w:r>
        <w:rPr>
          <w:rFonts w:ascii="Times New Roman;serif" w:hAnsi="Times New Roman;serif"/>
          <w:b w:val="false"/>
          <w:color w:val="000000"/>
          <w:sz w:val="24"/>
        </w:rPr>
        <w:t>. You will be entitled to reimbursement for all ordinary and reasonable out-of-pocket business expenses which are reasonably incurred by you in furtherance of the Company Group’s business, with appropriate documentation and in accordance with the Company Group’s standard policies. 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pStyle w:val="TextBody"/>
        <w:bidi w:val="0"/>
        <w:spacing w:lineRule="auto" w:line="276"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Compliance with Confidentiality Information Agreement and Company Policies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condition of employment, you agree to sign and comply with the Confidential Information and Inventions Assignment Agreement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val="false"/>
          <w:color w:val="000000"/>
          <w:sz w:val="24"/>
          <w:u w:val="single"/>
        </w:rPr>
        <w:t>Attachment D</w:t>
      </w:r>
      <w:r>
        <w:rPr>
          <w:rFonts w:ascii="Times New Roman;serif" w:hAnsi="Times New Roman;serif"/>
          <w:b w:val="false"/>
          <w:color w:val="000000"/>
          <w:sz w:val="24"/>
        </w:rPr>
        <w:t>. In addition, you are required to abide by the Company Group’s policies and procedures (including but not limited to the Company Group’s employee handbook), as adopted or modified from time to time within the Company Group’s discretion, and acknowledge in writing that you have read and will comply with such policies and procedures (and provide additional such acknowledgements as such policies and procedures may be modified from time to time)</w:t>
      </w:r>
      <w:r>
        <w:rPr>
          <w:rFonts w:ascii="Garamond;serif" w:hAnsi="Garamond;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the terms of this Agreement differ from or are in conflict with the Company Group’s general employment policies or practices, this Agreement shall control.</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or the Confidentiality Agreement shall prevent you from (i) communicating directly with, cooperating with, or providing information to, or receiving financial awards from, any federal, state, provincial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Employee has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w:t>
      </w:r>
    </w:p>
    <w:p>
      <w:pPr>
        <w:pStyle w:val="TextBody"/>
        <w:bidi w:val="0"/>
        <w:spacing w:lineRule="auto" w:line="288"/>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A copy of the Severance Plan can be reviewed at https://www.sec.gov/Archives/edgar/data/1801169/000180116924000085/a101opendoortechnologiesin.htm and is available upon request.</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1155"/>
                <wp:effectExtent l="0" t="0" r="0" b="0"/>
                <wp:wrapNone/>
                <wp:docPr id="182" name="Frame1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lineRule="auto" w:line="276"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Protection of Third-Party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signing this Agreement, you are representing that you have full authority to accept this position and perform the duties of the position commencing on the Start Date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on and after the Start Date.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pStyle w:val="TextBody"/>
        <w:bidi w:val="0"/>
        <w:spacing w:lineRule="auto" w:line="276"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Outside Activities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During your employment by the Company, except on behalf of the Company Group,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Group (or is planning or preparing to compete with the Company Group), anywhere in the world, in any line of business engaged in (or planned to be engaged in) by the Company Group;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you may purchase or otherwise acquire up to (but not more than) 1% of any class of securities of any enterprise (but without participating in the activities of such enterprise) and you may passively invest in hedge funds, mutual funds, private equity funds and similar funds. Nothing in this Agreement shall prohibit or restrict you from managing your personal investments in companies (and serving on their boards) that are not competitive with the Company Group or engaging in civic, charitable, religious or political activities, sitting on a non-profit, professional, or industry boards, or conducting personal speaking or educational engagements, in each case provided such endeavors do not materially interfere with your obligations under this Agreement. In addition, in the event that you wish to undertake any substantial business activity outside the scope of your employment by the Company, which activity you believe entails no conflict with the Company Group’s business, you agree to inform the Board of your intentions prior to the initiation of such outside business activity, and you furthermore agree to abide by the Board’s decision, which shall be rendered in good faith, as to whether or not there is such a conflict. If, in the Board’s sole determination, such a conflict exists or is likely to develop, you agree not to undertake such outside business activity.</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color w:val="000000"/>
          <w:sz w:val="24"/>
          <w:u w:val="single"/>
        </w:rPr>
        <w:t>Governing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validity, interpretation, construction and performance of this Agreement, and all acts and transactions pursuant hereto and the rights and obligations of the parties hereto shall be governed, construed and interpreted in accordance with the laws of the province of Ontario and the applicable federal laws of Canada, without giving effect to principles of conflicts of law.</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1155"/>
                <wp:effectExtent l="0" t="0" r="0" b="0"/>
                <wp:wrapNone/>
                <wp:docPr id="183" name="Frame1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10000"/>
          <w:sz w:val="24"/>
        </w:rPr>
        <w:t>(b)</w:t>
      </w:r>
      <w:r>
        <w:rPr>
          <w:rFonts w:ascii="Times New Roman;serif" w:hAnsi="Times New Roman;serif"/>
          <w:b/>
          <w:color w:val="000000"/>
          <w:sz w:val="24"/>
          <w:u w:val="single"/>
        </w:rPr>
        <w:t>Entire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acknowledge and agree that as of your execution of this Agreement, your sole entitlement to any compensation or benefits from the Company Group will be as set forth in this Agreement. This Agreement, including the Attachments hereto, set forth the entire agreement and understanding of the parties relating to the subject matter herein and supersedes all prior or contemporaneous discussions, understandings and agreements, whether oral or written, between you and the Company Group relating to the subject matter hereof.</w:t>
      </w:r>
    </w:p>
    <w:p>
      <w:pPr>
        <w:pStyle w:val="TextBody"/>
        <w:bidi w:val="0"/>
        <w:spacing w:lineRule="auto" w:line="276" w:before="0" w:after="240"/>
        <w:ind w:left="0" w:right="0" w:firstLine="720"/>
        <w:jc w:val="both"/>
        <w:rPr/>
      </w:pPr>
      <w:r>
        <w:rPr>
          <w:rFonts w:ascii="Times New Roman;serif" w:hAnsi="Times New Roman;serif"/>
          <w:b w:val="false"/>
          <w:color w:val="010000"/>
          <w:sz w:val="24"/>
        </w:rPr>
        <w:t>(c)</w:t>
      </w:r>
      <w:r>
        <w:rPr>
          <w:rFonts w:ascii="Times New Roman;serif" w:hAnsi="Times New Roman;serif"/>
          <w:b/>
          <w:color w:val="000000"/>
          <w:sz w:val="24"/>
          <w:u w:val="single"/>
        </w:rPr>
        <w:t>Counterparts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pStyle w:val="TextBody"/>
        <w:bidi w:val="0"/>
        <w:spacing w:lineRule="auto" w:line="276" w:before="0" w:after="240"/>
        <w:ind w:left="0" w:right="0" w:firstLine="720"/>
        <w:jc w:val="both"/>
        <w:rPr/>
      </w:pPr>
      <w:r>
        <w:rPr>
          <w:rFonts w:ascii="Times New Roman;serif" w:hAnsi="Times New Roman;serif"/>
          <w:b w:val="false"/>
          <w:color w:val="010000"/>
          <w:sz w:val="24"/>
        </w:rPr>
        <w:t>(d)</w:t>
      </w:r>
      <w:r>
        <w:rPr>
          <w:rFonts w:ascii="Times New Roman;serif" w:hAnsi="Times New Roman;serif"/>
          <w:b/>
          <w:color w:val="000000"/>
          <w:sz w:val="24"/>
          <w:u w:val="single"/>
        </w:rPr>
        <w:t>Successors and Assigns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will bind the heirs, personal representatives, successors and assigns of both you and the Company, and inure to the benefit of both you and the Company, their heirs, successors and assigns, except that you may not assign any of your duties hereunder and you may not assign any of your rights hereunder, without the written consent of the Company.</w:t>
      </w:r>
    </w:p>
    <w:p>
      <w:pPr>
        <w:pStyle w:val="TextBody"/>
        <w:bidi w:val="0"/>
        <w:spacing w:lineRule="auto" w:line="276" w:before="0" w:after="240"/>
        <w:ind w:left="0" w:right="0" w:firstLine="720"/>
        <w:jc w:val="both"/>
        <w:rPr/>
      </w:pPr>
      <w:r>
        <w:rPr>
          <w:rFonts w:ascii="Times New Roman;serif" w:hAnsi="Times New Roman;serif"/>
          <w:b w:val="false"/>
          <w:color w:val="010000"/>
          <w:sz w:val="24"/>
        </w:rPr>
        <w:t>(e)</w:t>
      </w:r>
      <w:r>
        <w:rPr>
          <w:rFonts w:ascii="Times New Roman;serif" w:hAnsi="Times New Roman;serif"/>
          <w:b/>
          <w:color w:val="000000"/>
          <w:sz w:val="24"/>
          <w:u w:val="single"/>
        </w:rPr>
        <w:t>Severability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w:t>
      </w:r>
    </w:p>
    <w:p>
      <w:pPr>
        <w:pStyle w:val="TextBody"/>
        <w:bidi w:val="0"/>
        <w:spacing w:lineRule="auto" w:line="276" w:before="0" w:after="240"/>
        <w:ind w:left="0" w:right="0" w:firstLine="720"/>
        <w:jc w:val="both"/>
        <w:rPr/>
      </w:pPr>
      <w:r>
        <w:rPr>
          <w:rFonts w:ascii="Times New Roman;serif" w:hAnsi="Times New Roman;serif"/>
          <w:b w:val="false"/>
          <w:color w:val="010000"/>
          <w:sz w:val="24"/>
        </w:rPr>
        <w:t>(f)</w:t>
      </w:r>
      <w:r>
        <w:rPr>
          <w:rFonts w:ascii="Times New Roman;serif" w:hAnsi="Times New Roman;serif"/>
          <w:b/>
          <w:color w:val="000000"/>
          <w:sz w:val="24"/>
          <w:u w:val="single"/>
        </w:rPr>
        <w:t>Amendment or Waiver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 provision of this Agreement may be amended unless such amendment is expressly set forth in a writing that is signed by you and an authorized representative of the Company. Any waiver of a breach of this Agreement, or rights hereunder, shall not be effective unless expressly made in a writing that is signed by the party against whom it is sought to be enforced, and shall not be deemed to be a waiver of any successive breach or rights hereunder. </w:t>
      </w:r>
    </w:p>
    <w:p>
      <w:pPr>
        <w:pStyle w:val="TextBody"/>
        <w:bidi w:val="0"/>
        <w:spacing w:lineRule="auto" w:line="276" w:before="0" w:after="240"/>
        <w:ind w:left="0" w:right="0" w:firstLine="720"/>
        <w:jc w:val="both"/>
        <w:rPr/>
      </w:pPr>
      <w:r>
        <w:rPr>
          <w:rFonts w:ascii="Times New Roman;serif" w:hAnsi="Times New Roman;serif"/>
          <w:b w:val="false"/>
          <w:color w:val="010000"/>
          <w:sz w:val="24"/>
        </w:rPr>
        <w:t>(g)</w:t>
      </w:r>
      <w:r>
        <w:rPr>
          <w:rFonts w:ascii="Times New Roman;serif" w:hAnsi="Times New Roman;serif"/>
          <w:b/>
          <w:color w:val="000000"/>
          <w:sz w:val="24"/>
          <w:u w:val="single"/>
        </w:rPr>
        <w:t>Withholding</w:t>
      </w:r>
      <w:r>
        <w:rPr>
          <w:rFonts w:ascii="Times New Roman;serif" w:hAnsi="Times New Roman;serif"/>
          <w:b w:val="false"/>
          <w:color w:val="000000"/>
          <w:sz w:val="24"/>
        </w:rPr>
        <w:t>. All amounts payable to you will be subject to appropriate payroll deductions and withholdings.</w:t>
      </w:r>
    </w:p>
    <w:p>
      <w:pPr>
        <w:pStyle w:val="TextBody"/>
        <w:bidi w:val="0"/>
        <w:spacing w:lineRule="auto" w:line="276" w:before="0" w:after="240"/>
        <w:ind w:left="0" w:right="0" w:firstLine="720"/>
        <w:jc w:val="both"/>
        <w:rPr/>
      </w:pPr>
      <w:r>
        <w:rPr>
          <w:rFonts w:ascii="Times New Roman;serif" w:hAnsi="Times New Roman;serif"/>
          <w:b w:val="false"/>
          <w:color w:val="010000"/>
          <w:sz w:val="24"/>
        </w:rPr>
        <w:t>(h)</w:t>
      </w:r>
      <w:r>
        <w:rPr>
          <w:rFonts w:ascii="Times New Roman;serif" w:hAnsi="Times New Roman;serif"/>
          <w:b/>
          <w:color w:val="000000"/>
          <w:sz w:val="24"/>
          <w:u w:val="single"/>
        </w:rPr>
        <w:t>Electronic Delivery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may, in its sole discretion, decide to deliver any documents or notices related to this Agreement,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w:t>
      </w:r>
      <w:r>
        <w:rPr>
          <w:rFonts w:ascii="Garamond;serif" w:hAnsi="Garamond;serif"/>
          <w:b w:val="false"/>
          <w:color w:val="000000"/>
          <w:sz w:val="24"/>
        </w:rPr>
        <w:t xml:space="preserve">; </w:t>
      </w:r>
      <w:r>
        <w:rPr>
          <w:rFonts w:ascii="Times New Roman;serif" w:hAnsi="Times New Roman;serif"/>
          <w:b w:val="false"/>
          <w:color w:val="000000"/>
          <w:sz w:val="24"/>
        </w:rPr>
        <w:t>(ii) receive such documents and notices by such electronic delivery</w:t>
      </w:r>
      <w:r>
        <w:rPr>
          <w:rFonts w:ascii="Garamond;serif" w:hAnsi="Garamond;serif"/>
          <w:b w:val="false"/>
          <w:color w:val="000000"/>
          <w:sz w:val="24"/>
        </w:rPr>
        <w:t xml:space="preserve">; </w:t>
      </w:r>
      <w:r>
        <w:rPr>
          <w:rFonts w:ascii="Times New Roman;serif" w:hAnsi="Times New Roman;serif"/>
          <w:b w:val="false"/>
          <w:color w:val="000000"/>
          <w:sz w:val="24"/>
        </w:rPr>
        <w:t>and (iii) sign documents electronically and agree to participate through an on-line or electronic system established and maintained by the Company Group or a third party designated by the Company.</w:t>
      </w:r>
    </w:p>
    <w:p>
      <w:pPr>
        <w:pStyle w:val="TextBody"/>
        <w:bidi w:val="0"/>
        <w:spacing w:lineRule="auto" w:line="276" w:before="0" w:after="240"/>
        <w:ind w:left="0" w:right="0" w:firstLine="720"/>
        <w:jc w:val="both"/>
        <w:rPr/>
      </w:pPr>
      <w:r>
        <w:rPr>
          <w:rFonts w:ascii="Times New Roman;serif" w:hAnsi="Times New Roman;serif"/>
          <w:b w:val="false"/>
          <w:color w:val="010000"/>
          <w:sz w:val="24"/>
        </w:rPr>
        <w:t>(i)</w:t>
      </w:r>
      <w:r>
        <w:rPr>
          <w:rFonts w:ascii="Times New Roman;serif" w:hAnsi="Times New Roman;serif"/>
          <w:b/>
          <w:color w:val="000000"/>
          <w:sz w:val="24"/>
          <w:u w:val="single"/>
        </w:rPr>
        <w:t>Arbitration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agree that any and all disputes relating to or regarding your employment, including disputes regarding compensation and any and all other conflicts, shall be resolved pursuant to the Federal Arbitration Act, 9 U.S.C. § 1-16 (“</w:t>
      </w:r>
      <w:r>
        <w:rPr>
          <w:rFonts w:ascii="Times New Roman;serif" w:hAnsi="Times New Roman;serif"/>
          <w:b w:val="false"/>
          <w:color w:val="000000"/>
          <w:sz w:val="24"/>
          <w:u w:val="single"/>
        </w:rPr>
        <w:t>FAA</w:t>
      </w:r>
      <w:r>
        <w:rPr>
          <w:color w:val="000000"/>
        </w:rPr>
        <w:t>”</w:t>
      </w:r>
      <w:r>
        <w:rPr>
          <w:rFonts w:ascii="Times New Roman;serif" w:hAnsi="Times New Roman;serif"/>
          <w:b w:val="false"/>
          <w:color w:val="000000"/>
          <w:sz w:val="24"/>
        </w:rPr>
        <w:t xml:space="preserve">), or if inapplicable, the California Arbitration Act, to the fullest extent permitted by law, by final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1155"/>
                <wp:effectExtent l="0" t="0" r="0" b="0"/>
                <wp:wrapNone/>
                <wp:docPr id="184" name="Frame1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and binding arbitration. You further agree that such disputes shall be resolved on an individual basis only, and not on a class, collective or representative basis on behalf of other employees (“</w:t>
      </w:r>
      <w:r>
        <w:rPr>
          <w:rFonts w:ascii="Times New Roman;serif" w:hAnsi="Times New Roman;serif"/>
          <w:b w:val="false"/>
          <w:color w:val="000000"/>
          <w:sz w:val="24"/>
          <w:u w:val="single"/>
        </w:rPr>
        <w:t>Class Waiver</w:t>
      </w:r>
      <w:r>
        <w:rPr>
          <w:color w:val="000000"/>
        </w:rPr>
        <w:t>”</w:t>
      </w:r>
      <w:r>
        <w:rPr>
          <w:rFonts w:ascii="Times New Roman;serif" w:hAnsi="Times New Roman;serif"/>
          <w:b w:val="false"/>
          <w:color w:val="000000"/>
          <w:sz w:val="24"/>
        </w:rPr>
        <w:t>), to the extent permitted by applicable law. Any claim that all or part of the Class Waiver is invalid, unenforceable, unconscionable, void or voidable may be determined only by a court. In no case may class, collective or representative claims proceed in arbitration. Notwithstanding the foregoing, this paragraph shall not apply to an action or claim brought in court that cannot be subject to mandatory arbitration as a matter of law, including without limitation, claims alleging sexual harassment or a nonconsensual sexual action or sexual contact, to the extent any such claims are not permitted by applicable law to be submitted to mandatory arbitration and such applicable law is not preempted by the FAA or otherwise invalid (the “</w:t>
      </w:r>
      <w:r>
        <w:rPr>
          <w:rFonts w:ascii="Times New Roman;serif" w:hAnsi="Times New Roman;serif"/>
          <w:b w:val="false"/>
          <w:color w:val="000000"/>
          <w:sz w:val="24"/>
          <w:u w:val="single"/>
        </w:rPr>
        <w:t>Excluded Claims</w:t>
      </w:r>
      <w:r>
        <w:rPr>
          <w:color w:val="000000"/>
        </w:rPr>
        <w:t>”</w:t>
      </w:r>
      <w:r>
        <w:rPr>
          <w:rFonts w:ascii="Times New Roman;serif" w:hAnsi="Times New Roman;serif"/>
          <w:b w:val="false"/>
          <w:color w:val="000000"/>
          <w:sz w:val="24"/>
        </w:rPr>
        <w:t>). In the event you intend to bring multiple claims, including one of the Excluded Claims listed above, the Excluded Claims may be filed with a court, while any other claims will remain subject to mandatory arbitration. You and the Company agree to bring any dispute in arbitration before a single neutral arbitrator with JAMS, Inc. or its successor (“</w:t>
      </w:r>
      <w:r>
        <w:rPr>
          <w:rFonts w:ascii="Times New Roman;serif" w:hAnsi="Times New Roman;serif"/>
          <w:b w:val="false"/>
          <w:color w:val="000000"/>
          <w:sz w:val="24"/>
          <w:u w:val="single"/>
        </w:rPr>
        <w:t>JAMS</w:t>
      </w:r>
      <w:r>
        <w:rPr>
          <w:color w:val="000000"/>
        </w:rPr>
        <w:t>”</w:t>
      </w:r>
      <w:r>
        <w:rPr>
          <w:rFonts w:ascii="Times New Roman;serif" w:hAnsi="Times New Roman;serif"/>
          <w:b w:val="false"/>
          <w:color w:val="000000"/>
          <w:sz w:val="24"/>
        </w:rPr>
        <w:t xml:space="preserve">), in San Francisco, California or in the county of your residence if it is not in the San Francisco Bay Area at the time of the commencement of an arbitration proceeding, pursuant to the JAMS Employment Rules &amp; Procedures (which can currently be reviewed at http://www.jamsadr.com/rules-employment-arbitration/ and will be provided to you upon request). You on the one hand, and the Company on the other, waive any rights to a jury trial or a bench trial in connection with the resolution of any dispute under this Agreement or your employment (although both parties may seek interim emergency relief from a court to prevent irreparable harm pending the conclusion of any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You and the Company shall equally share all JAMS’ arbitration fees, or such fees shall be paid in such other manner to the extent required by, and in accordance with, applicable law to effectuate your and the Company’s agreement to arbitrate; provided, however, if you reside in California, the Company shall pay all JAMS’ arbitration fees in excess of the amount of court fees that would be required of you if the dispute were filed in Superior Court.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Each party is responsible for its own attorneys’ fees, except as expressly set forth in your Confidentiality Agreement.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This paragraph shall not apply to an action or claim brought in court pursuant to the California Private Attorneys General Act of 2004, as amended. Arbitration is not a mandatory condition of your employment. </w:t>
      </w:r>
      <w:r>
        <w:rPr>
          <w:rFonts w:ascii="Times New Roman;serif" w:hAnsi="Times New Roman;serif"/>
          <w:b/>
          <w:color w:val="000000"/>
          <w:sz w:val="24"/>
        </w:rPr>
        <w:t>If you wish to opt out of this arbitration agreement, you must notify the Company in writing by sending an email to [***] stating your intent to opt out within 30 days of signing this Agreement.</w:t>
      </w:r>
    </w:p>
    <w:p>
      <w:pPr>
        <w:pStyle w:val="TextBody"/>
        <w:bidi w:val="0"/>
        <w:spacing w:lineRule="auto" w:line="276" w:before="0" w:after="240"/>
        <w:ind w:left="0" w:right="0" w:firstLine="720"/>
        <w:jc w:val="both"/>
        <w:rPr/>
      </w:pPr>
      <w:r>
        <w:rPr>
          <w:rFonts w:ascii="Times New Roman;serif" w:hAnsi="Times New Roman;serif"/>
          <w:b w:val="false"/>
          <w:color w:val="010000"/>
          <w:sz w:val="24"/>
        </w:rPr>
        <w:t>(j)</w:t>
      </w:r>
      <w:r>
        <w:rPr>
          <w:rFonts w:ascii="Times New Roman;serif" w:hAnsi="Times New Roman;serif"/>
          <w:b/>
          <w:color w:val="000000"/>
          <w:sz w:val="24"/>
          <w:u w:val="single"/>
        </w:rPr>
        <w:t>Company Representations</w:t>
      </w:r>
      <w:r>
        <w:rPr>
          <w:rFonts w:ascii="Times New Roman;serif" w:hAnsi="Times New Roman;serif"/>
          <w:b w:val="false"/>
          <w:color w:val="000000"/>
          <w:sz w:val="24"/>
        </w:rPr>
        <w:t xml:space="preserve">. The Company represents and warrants that (i) it is fully authorized by action of the Board of Directors of Parent to enter into this Agreement and perform its obligations under this Agreement, (ii) the execution, delivery and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1155"/>
                <wp:effectExtent l="0" t="0" r="0" b="0"/>
                <wp:wrapNone/>
                <wp:docPr id="185" name="Frame1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performance of this Agreement does not violate any applicable law, regulation, order, judgement or decree or any agreement, arrangement, plan or corporate governance document to which it is a party or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 </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1155"/>
                <wp:effectExtent l="0" t="0" r="0" b="0"/>
                <wp:wrapNone/>
                <wp:docPr id="186" name="Frame1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indicate your acceptance of the Company’s offer of employment, please sign and date this Agreement and the enclosed Confidentiality Agreement in the space provided for your signature and return them to me within three business days of the date of this letter.</w:t>
      </w:r>
    </w:p>
    <w:p>
      <w:pPr>
        <w:pStyle w:val="TextBody"/>
        <w:bidi w:val="0"/>
        <w:spacing w:lineRule="auto" w:line="288" w:before="0" w:after="480"/>
        <w:ind w:left="0" w:right="0" w:hanging="546"/>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0"/>
        <w:ind w:left="0" w:right="0" w:hanging="546"/>
        <w:jc w:val="left"/>
        <w:rPr>
          <w:rFonts w:ascii="Times New Roman;serif" w:hAnsi="Times New Roman;serif"/>
          <w:b w:val="false"/>
          <w:color w:val="000000"/>
          <w:sz w:val="24"/>
        </w:rPr>
      </w:pPr>
      <w:r>
        <w:rPr>
          <w:rFonts w:ascii="Times New Roman;serif" w:hAnsi="Times New Roman;serif"/>
          <w:b w:val="false"/>
          <w:color w:val="000000"/>
          <w:sz w:val="24"/>
        </w:rPr>
        <w:t xml:space="preserve">OPENDOOR OPERATIONS CANADA INC. </w:t>
      </w:r>
    </w:p>
    <w:p>
      <w:pPr>
        <w:pStyle w:val="TextBody"/>
        <w:bidi w:val="0"/>
        <w:spacing w:before="0" w:after="0"/>
        <w:ind w:left="0" w:right="0" w:hanging="546"/>
        <w:jc w:val="left"/>
        <w:rPr/>
      </w:pPr>
      <w:r>
        <w:rPr/>
      </w:r>
    </w:p>
    <w:p>
      <w:pPr>
        <w:pStyle w:val="TextBody"/>
        <w:bidi w:val="0"/>
        <w:spacing w:lineRule="auto" w:line="288" w:before="0" w:after="0"/>
        <w:ind w:left="0" w:right="0" w:hanging="546"/>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Rishi Kotiya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Rishi Kotiya</w:t>
      </w:r>
    </w:p>
    <w:p>
      <w:pPr>
        <w:pStyle w:val="TextBody"/>
        <w:bidi w:val="0"/>
        <w:spacing w:lineRule="auto" w:line="288" w:before="0" w:after="360"/>
        <w:ind w:left="0" w:right="0" w:hanging="7"/>
        <w:jc w:val="left"/>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360"/>
        <w:ind w:left="0" w:right="0" w:hanging="7"/>
        <w:jc w:val="left"/>
        <w:rPr/>
      </w:pPr>
      <w:r>
        <w:rPr/>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ACCEPTED AND AGREED:</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Lucas Matheson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Lucas Matheson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A: First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B: Second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C: Participation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D: Confidentiality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A</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6415"/>
                <wp:effectExtent l="0" t="0" r="0" b="0"/>
                <wp:wrapNone/>
                <wp:docPr id="187" name="Frame18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90.6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FIRST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2020 Incentive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both of which are incorporated into this Grant Notice by reference. Capitalized terms not specifically defined in this Grant Notice or the Agreement have the meanings given to them in the Plan.</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Lucas Matheson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the Plan, this Grant Notice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2813"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09"/>
        <w:gridCol w:w="109"/>
        <w:gridCol w:w="109"/>
        <w:gridCol w:w="438"/>
        <w:gridCol w:w="438"/>
        <w:gridCol w:w="62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Lucas Matheson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26415"/>
                <wp:effectExtent l="0" t="0" r="0" b="0"/>
                <wp:wrapNone/>
                <wp:docPr id="188" name="Frame18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A</w:t>
      </w:r>
    </w:p>
    <w:p>
      <w:pPr>
        <w:pStyle w:val="TextBody"/>
        <w:bidi w:val="0"/>
        <w:spacing w:before="0" w:after="0"/>
        <w:jc w:val="center"/>
        <w:rPr/>
      </w:pPr>
      <w:r>
        <w:rPr/>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Participant.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88"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76"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76"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76"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awarding, vesting or </w:t>
      </w:r>
    </w:p>
    <w:p>
      <w:pPr>
        <w:pStyle w:val="TextBody"/>
        <w:bidi w:val="0"/>
        <w:spacing w:before="0" w:after="0"/>
        <w:jc w:val="center"/>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payment of the PSUs or the subsequent sale of Shares. The Company and its Subsidiaries do not commit and are under no obligation to structure the PSUs to reduce or eliminate Participant’s tax liability.</w:t>
      </w:r>
    </w:p>
    <w:p>
      <w:pPr>
        <w:pStyle w:val="TextBody"/>
        <w:bidi w:val="0"/>
        <w:spacing w:lineRule="auto" w:line="276"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76"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76"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76"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forth in this Agreement or the Plan, this Agreement will be binding upon and inure to the benefit of the heirs, legatees, legal representatives, successors and permitted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hereto) constitute the entire agreement of the parties and supersede in their entirety all prior undertakings and agreements of the Company and Participant with respect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matter hereof. Participant agrees and acknowledges that Participant has received and read a copy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24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Name: Lucas Matheson</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1155"/>
                <wp:effectExtent l="0" t="0" r="0" b="0"/>
                <wp:wrapNone/>
                <wp:docPr id="193" name="Frame1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PSU VESTING CONDITIONS (FIRST SIGN-ON AWARD)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9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Vesting Conditions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76"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set forth in Sections 5 and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subject to Participant’s continued employment with the Company and its Subsidiaries through the applicable date, the Time-Based Vesting Condition shall be satisfied as to twenty percent (20%) of the PSUs subject to the Award on April 15, 2026, and the Time-Based Vesting Condition shall be satisfied as to the remaining eighty percent (80%) of the PSUs subject to the Award (the “</w:t>
      </w:r>
      <w:r>
        <w:rPr>
          <w:rFonts w:ascii="Times New Roman;serif" w:hAnsi="Times New Roman;serif"/>
          <w:b w:val="false"/>
          <w:color w:val="000000"/>
          <w:sz w:val="24"/>
          <w:u w:val="single"/>
        </w:rPr>
        <w:t>Remainder</w:t>
      </w:r>
      <w:r>
        <w:rPr>
          <w:color w:val="000000"/>
        </w:rPr>
        <w:t>”</w:t>
      </w:r>
      <w:r>
        <w:rPr>
          <w:rFonts w:ascii="Times New Roman;serif" w:hAnsi="Times New Roman;serif"/>
          <w:b w:val="false"/>
          <w:color w:val="000000"/>
          <w:sz w:val="24"/>
        </w:rPr>
        <w:t>) in substantially equal installments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starting on the date that is three (3) months after April 15, 2026 and continuing on each date that is three (3) months thereafter (such three (3)-month anniversary and each successive date that is three (3) months thereafter, a “</w:t>
      </w:r>
      <w:r>
        <w:rPr>
          <w:rFonts w:ascii="Times New Roman;serif" w:hAnsi="Times New Roman;serif"/>
          <w:b w:val="false"/>
          <w:color w:val="000000"/>
          <w:sz w:val="24"/>
          <w:u w:val="single"/>
        </w:rPr>
        <w:t>Measurement Date</w:t>
      </w:r>
      <w:r>
        <w:rPr>
          <w:color w:val="000000"/>
        </w:rPr>
        <w:t>”</w:t>
      </w:r>
      <w:r>
        <w:rPr>
          <w:rFonts w:ascii="Times New Roman;serif" w:hAnsi="Times New Roman;serif"/>
          <w:b w:val="false"/>
          <w:color w:val="000000"/>
          <w:sz w:val="24"/>
        </w:rPr>
        <w:t xml:space="preserve">), such that the Time-Based Vesting Condition shall be satisfied with respect to one hundred percent 100% of the Award on April 15, 2030. For purposes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w:t>
      </w:r>
      <w:r>
        <w:rPr>
          <w:rFonts w:ascii="Times New Roman;serif" w:hAnsi="Times New Roman;serif"/>
          <w:b w:val="false"/>
          <w:color w:val="000000"/>
          <w:sz w:val="24"/>
          <w:u w:val="single"/>
        </w:rPr>
        <w:t>Tranche</w:t>
      </w:r>
      <w:r>
        <w:rPr>
          <w:color w:val="000000"/>
        </w:rPr>
        <w:t xml:space="preserve">” </w:t>
      </w:r>
      <w:r>
        <w:rPr>
          <w:rFonts w:ascii="Times New Roman;serif" w:hAnsi="Times New Roman;serif"/>
          <w:b w:val="false"/>
          <w:color w:val="000000"/>
          <w:sz w:val="24"/>
        </w:rPr>
        <w:t>will refer to the initial installment of twenty percent (20%) of the Award and to each installment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Except as otherwise expressly provided in Sections 5 or 6 below, if Participant’s employment terminates for any reason prior to April 15, 2030, then any Tranche that has not satisfied the Time-Based Vesting Condition pursuant to this Section 2 will be forfeited and cancelled for no consideration in respect thereof.</w:t>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The Performance-Based Vesting Condition for each Tranche will be measured on the Measurement Date on which the Time-Based Vesting Condition for such Tranche is satisfied and on up to four Measurement Dates immediately following such Measurement Date (or such fewer number of Measurement Dates that remain in the Performance Period, if applicable). If the Company Stock Price equals or exceeds the Baseline Price as of any of such Measurement Dates, then the Performance-Based Vesting Condition of the applicable Tranche will be satisfied. If the Company Stock Price does not equal or exceed the Baseline Price as of any of such Measurement Dates then, as of the last of such Measurement Dates, the Tranche will be automatically forfeited and cancelled for no consideration in respect thereof.</w:t>
      </w:r>
    </w:p>
    <w:p>
      <w:pPr>
        <w:pStyle w:val="TextBody"/>
        <w:bidi w:val="0"/>
        <w:spacing w:lineRule="auto" w:line="288"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if applicable,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xml:space="preserve">. In the event Participant experiences a Qualifying Termination during the Performance Period (other than during a CIC Protection Period), then, notwithstanding anything herein to the contrary, one-tenth (1/10th) of the Award (or, if less than one-tenth (1/10th) of the Award remains outstanding as of the Termination Date, then the then-outstanding portion of the Award) will be deemed to have satisfied the Time-Based </w:t>
      </w:r>
    </w:p>
    <w:p>
      <w:pPr>
        <w:pStyle w:val="TextBody"/>
        <w:bidi w:val="0"/>
        <w:spacing w:before="0" w:after="0"/>
        <w:jc w:val="center"/>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Vesting Condition and will vest upon the Termination Date (regardless of the Company Stock Price as of such date). For the avoidance of doubt, any Tranche for which the Time-Based Vesting Condition is not satisfied pursuant to this Section 5 shall be forfeited and cancelled as of the Termination Date for no consideration in respect thereof.</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as of the Change in Control Date, the Change in Control Price equals or exceeds the Baseline Price, then all unvested PSUs shall remain outstanding and eligible to vest upon the achievement of the applicable Time-Based Vesting Condition. If, as of the Change in Control Date, the Change in Control Price does not equal or exceed the Baseline Price, then all unvested PSUs will be forfeited and cancelled as of the Change in Control Date for no consideration in respect thereof.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Qualifying Termination during the CIC Protection Period and PSUs remain outstanding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then (i) as of the later of the Change in Control Date and the Termination Date, the Time-Based Vesting Condition will be deemed to be satisfied with respect to a number of PSUs equal to (A) the product of (1) the total number of PSUs granted pursuant to the Award and (2) the CIC Performance Factor, minus (B) the number of PSUs that have already vested prior to the CIC Qualifying Termination and (ii) any PSUs that do not become vested pursuant to clause (i) will be forfeited and cancelled for no consideration in respect thereof. </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satisfaction of the Release Requirement. </w:t>
      </w:r>
    </w:p>
    <w:p>
      <w:pPr>
        <w:pStyle w:val="TextBody"/>
        <w:bidi w:val="0"/>
        <w:spacing w:lineRule="auto" w:line="288"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end of the Performance Period, all unvested PSUs shall be forfeited and cancelled for no consideration in respect thereof. </w:t>
      </w:r>
    </w:p>
    <w:p>
      <w:pPr>
        <w:pStyle w:val="TextBody"/>
        <w:bidi w:val="0"/>
        <w:spacing w:lineRule="auto" w:line="288"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Baseline Price</w:t>
      </w:r>
      <w:r>
        <w:rPr>
          <w:color w:val="000000"/>
        </w:rPr>
        <w:t xml:space="preserve">” </w:t>
      </w:r>
      <w:r>
        <w:rPr>
          <w:rFonts w:ascii="Times New Roman;serif" w:hAnsi="Times New Roman;serif"/>
          <w:b w:val="false"/>
          <w:color w:val="000000"/>
          <w:sz w:val="24"/>
        </w:rPr>
        <w:t xml:space="preserve">means $6.24.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means (i) if the Change in Control Price is equal to or greater than $25.00 but less than $29.00, a fraction, the numerator of which is equal to five (5) and the denominator of which is equal to seven (7), (ii) if the Change in Control Price is equal to or greater than $29.00 but less than $33.00, a fraction, the numerator of which is equal to six (6) and the denominator of which is equal to seven (7) or (iii) if the Change in Control Price is equal to or greater than $33.00, one (1).</w:t>
      </w:r>
    </w:p>
    <w:p>
      <w:pPr>
        <w:pStyle w:val="TextBody"/>
        <w:bidi w:val="0"/>
        <w:spacing w:before="0" w:after="0"/>
        <w:jc w:val="center"/>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1155"/>
                <wp:effectExtent l="0" t="0" r="0" b="0"/>
                <wp:wrapNone/>
                <wp:docPr id="195" name="Frame1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CIC Protection Period</w:t>
      </w:r>
      <w:r>
        <w:rPr>
          <w:color w:val="000000"/>
        </w:rPr>
        <w:t xml:space="preserve">” </w:t>
      </w:r>
      <w:r>
        <w:rPr>
          <w:rFonts w:ascii="Times New Roman;serif" w:hAnsi="Times New Roman;serif"/>
          <w:b w:val="false"/>
          <w:color w:val="000000"/>
          <w:sz w:val="24"/>
        </w:rPr>
        <w:t>means the period commencing three (3) months prior to, and ending twelve (12) months following, a Change in Control.</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means the average closing price of a Share on the Securities Exchange for any consecutive period of thirty (30) Trading Days that ends on the last Trading Day immediately preceding an applicable Measurement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shall have the meaning set forth in the Company’s long-term disability plan, as in effect from time to time (or, if no such plan is then in effect, as such term was most recently defined therein).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means the period beginning on the Start Date and ending on October 15, 2030.</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means Participant’s employment with the Company and its Subsidiaries is terminated (i) by Participant for Good Reason, or (ii) by the Company or its applicable Subsidiary other than for Cause (each as defined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Release Requirement</w:t>
      </w:r>
      <w:r>
        <w:rPr>
          <w:color w:val="000000"/>
        </w:rPr>
        <w:t xml:space="preserve">” </w:t>
      </w:r>
      <w:r>
        <w:rPr>
          <w:rFonts w:ascii="Times New Roman;serif" w:hAnsi="Times New Roman;serif"/>
          <w:b w:val="false"/>
          <w:color w:val="000000"/>
          <w:sz w:val="24"/>
        </w:rPr>
        <w:t>means the requirement that Participant execute and deliver (without revoking) to the Company or its applicable Subsidiary a release of claims in favor of the Company Group on the Company Group’s standard form of release of claims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on or after the date of a Qualifying Termination and on or before the 21st day following the date on which the Company or its applicable Subsidiary delivers the Release to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means the last day of Participant’s employment with the Company or any of its Subsidiaries,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1155"/>
                <wp:effectExtent l="0" t="0" r="0" b="0"/>
                <wp:wrapNone/>
                <wp:docPr id="196" name="Frame1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Attachment B</w:t>
      </w:r>
    </w:p>
    <w:p>
      <w:pPr>
        <w:pStyle w:val="TextBody"/>
        <w:bidi w:val="0"/>
        <w:spacing w:before="0" w:after="0"/>
        <w:jc w:val="center"/>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SECOND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2020 Incentive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xml:space="preserve">), both of which are incorporated into this Grant Notice by reference. </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Lucas Matheson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this Grant Notice, the Plan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2813"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09"/>
        <w:gridCol w:w="109"/>
        <w:gridCol w:w="109"/>
        <w:gridCol w:w="438"/>
        <w:gridCol w:w="438"/>
        <w:gridCol w:w="62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Lucas Matheson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1155"/>
                <wp:effectExtent l="0" t="0" r="0" b="0"/>
                <wp:wrapNone/>
                <wp:docPr id="197" name="Frame1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 -1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 -1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B</w:t>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before="0" w:after="0"/>
        <w:jc w:val="left"/>
        <w:rPr/>
      </w:pPr>
      <w:r>
        <w:rPr/>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lineRule="auto" w:line="276"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76"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76"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Participant. </w:t>
      </w:r>
    </w:p>
    <w:p>
      <w:pPr>
        <w:pStyle w:val="TextBody"/>
        <w:bidi w:val="0"/>
        <w:spacing w:lineRule="auto" w:line="276"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76" w:before="0" w:after="18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76"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before="0" w:after="0"/>
        <w:jc w:val="center"/>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88"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awarding, vesting or payment of the PSUs or the subsequent sale of Shares. The Company and its Subsidiaries do not commit and are under no obligation to structure the PSUs to reduce or eliminate Participant’s tax liability.</w:t>
      </w:r>
    </w:p>
    <w:p>
      <w:pPr>
        <w:pStyle w:val="TextBody"/>
        <w:bidi w:val="0"/>
        <w:spacing w:before="0" w:after="0"/>
        <w:jc w:val="center"/>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1155"/>
                <wp:effectExtent l="0" t="0" r="0" b="0"/>
                <wp:wrapNone/>
                <wp:docPr id="199" name="Frame1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88"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forth in this Agreement or the Plan, this Agreement will be binding upon and inure to the benefit of the heirs, legatees, legal representatives, successors and permitted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hereto) constitute the entire agreement of the parties and supersede in their entirety all prior undertakings and agreements of the Company and Participant with respect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1155"/>
                <wp:effectExtent l="0" t="0" r="0" b="0"/>
                <wp:wrapNone/>
                <wp:docPr id="200" name="Frame1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matter hereof. Participant agrees and acknowledges that Participant has received and read a copy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Special Provisions for Bahamas</w:t>
      </w:r>
      <w:r>
        <w:rPr>
          <w:rFonts w:ascii="Times New Roman;serif" w:hAnsi="Times New Roman;serif"/>
          <w:b w:val="false"/>
          <w:color w:val="000000"/>
          <w:sz w:val="24"/>
        </w:rPr>
        <w:t>. Notwithstanding any other provision of this Agreement or the Plan to the contrary: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acknowledges that the grant, vesting, and settlement of this Award may be subject to the securities laws of The Bahamas, including the Securities Industry Act, 2024 and any successor legislation. The Company shall cooperate in good faith to facilitate any required filings, exemptions, or disclosures with the Securities Commission of The Bahamas.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understands that, as a resident of The Bahamas, holding or receiving foreign securities or related proceeds may require prior approval under the Exchange Control Regulations Act. Participant agrees to seek any necessary approvals, and the Company shall provide reasonable assistance in connection with such applications, including documentation of the award terms and valuation.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Company makes no representations regarding the tax treatment of this Award under Bahamian law. Participant is solely responsible for complying with any </w:t>
      </w:r>
    </w:p>
    <w:p>
      <w:pPr>
        <w:pStyle w:val="TextBody"/>
        <w:bidi w:val="0"/>
        <w:spacing w:before="0" w:after="0"/>
        <w:jc w:val="center"/>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1155"/>
                <wp:effectExtent l="0" t="0" r="0" b="0"/>
                <wp:wrapNone/>
                <wp:docPr id="201" name="Frame20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tax reporting or payment obligations arising from the grant, vesting, or settlement of this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extent required by the laws of The Bahamas, this Agreement shall be interpreted in a manner consistent with such laws, provided that no provision herein shall be deemed to create an employment relationship under Bahamian law.</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1155"/>
                <wp:effectExtent l="0" t="0" r="0" b="0"/>
                <wp:wrapNone/>
                <wp:docPr id="202" name="Frame2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B-5</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______________________________</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Name: Lucas Matheson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B</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PSU VESTING CONDITIONS (SECOND SIGN-ON AWARD)</w:t>
      </w:r>
    </w:p>
    <w:p>
      <w:pPr>
        <w:pStyle w:val="TextBody"/>
        <w:bidi w:val="0"/>
        <w:spacing w:lineRule="auto" w:line="276" w:before="0" w:after="18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10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18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 xml:space="preserve">Vesting </w:t>
      </w:r>
      <w:r>
        <w:rPr>
          <w:rFonts w:ascii="Times New Roman;serif" w:hAnsi="Times New Roman;serif"/>
          <w:b w:val="false"/>
          <w:color w:val="000000"/>
          <w:sz w:val="24"/>
        </w:rPr>
        <w:t xml:space="preserve">Conditions.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76" w:before="0" w:after="18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xml:space="preserve">. Except as set forth in Sections 5 or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on the date on which the Company Stock Price meets or exceeds the dollar value specified in any of the rows below in the column entitled “Stock Price Hurdle” (each, a “</w:t>
      </w:r>
      <w:r>
        <w:rPr>
          <w:rFonts w:ascii="Times New Roman;serif" w:hAnsi="Times New Roman;serif"/>
          <w:b w:val="false"/>
          <w:i/>
          <w:color w:val="000000"/>
          <w:sz w:val="24"/>
        </w:rPr>
        <w:t>Stock Price Hurdle</w:t>
      </w:r>
      <w:r>
        <w:rPr>
          <w:color w:val="000000"/>
        </w:rPr>
        <w:t>”</w:t>
      </w:r>
      <w:r>
        <w:rPr>
          <w:rFonts w:ascii="Times New Roman;serif" w:hAnsi="Times New Roman;serif"/>
          <w:b w:val="false"/>
          <w:color w:val="000000"/>
          <w:sz w:val="24"/>
        </w:rPr>
        <w:t>) at any point during the Performance Period, the Performance-Based Vesting Condition will be satisfied with respect to (a) the number of PSUs listed in the table below directly across from such Stock Price Hurdle (each, a “</w:t>
      </w:r>
      <w:r>
        <w:rPr>
          <w:rFonts w:ascii="Times New Roman;serif" w:hAnsi="Times New Roman;serif"/>
          <w:b w:val="false"/>
          <w:i/>
          <w:color w:val="000000"/>
          <w:sz w:val="24"/>
        </w:rPr>
        <w:t>Tranche</w:t>
      </w:r>
      <w:r>
        <w:rPr>
          <w:color w:val="000000"/>
        </w:rPr>
        <w:t>”</w:t>
      </w:r>
      <w:r>
        <w:rPr>
          <w:rFonts w:ascii="Times New Roman;serif" w:hAnsi="Times New Roman;serif"/>
          <w:b w:val="false"/>
          <w:color w:val="000000"/>
          <w:sz w:val="24"/>
        </w:rPr>
        <w:t>) and (b) each preceding Tranche solely to the extent that the Stock Price Hurdles applicable to each such Tranche have not already been achieved. The Committee will certify attainment of the Stock Price Hurdle within ten (10) days thereafter. For the avoidance of doubt, once a Stock Price Hurdle has been achieved during the Performance Period, (a) it will forever be treated as having been achieved, regardless of any subsequent changes in the trading price of a Share and (b) such Stock Price Hurdle cannot be achieved again.</w:t>
      </w:r>
    </w:p>
    <w:tbl>
      <w:tblPr>
        <w:tblW w:w="3960" w:type="dxa"/>
        <w:jc w:val="left"/>
        <w:tblInd w:w="0" w:type="dxa"/>
        <w:tblLayout w:type="fixed"/>
        <w:tblCellMar>
          <w:top w:w="28" w:type="dxa"/>
          <w:left w:w="28" w:type="dxa"/>
          <w:bottom w:w="28" w:type="dxa"/>
          <w:right w:w="28" w:type="dxa"/>
        </w:tblCellMar>
      </w:tblPr>
      <w:tblGrid>
        <w:gridCol w:w="359"/>
        <w:gridCol w:w="315"/>
        <w:gridCol w:w="317"/>
        <w:gridCol w:w="734"/>
        <w:gridCol w:w="734"/>
        <w:gridCol w:w="737"/>
        <w:gridCol w:w="223"/>
        <w:gridCol w:w="223"/>
        <w:gridCol w:w="31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Tranche</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Stock Price Hurdle</w:t>
            </w:r>
            <w:r>
              <w:rPr>
                <w:rFonts w:ascii="Times New Roman;serif" w:hAnsi="Times New Roman;serif"/>
                <w:b/>
                <w:color w:val="000000"/>
                <w:sz w:val="16"/>
              </w:rPr>
              <w:t>(1)</w:t>
            </w:r>
          </w:p>
        </w:tc>
        <w:tc>
          <w:tcPr>
            <w:tcW w:w="764"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PSUs </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$9.00</w:t>
            </w:r>
          </w:p>
        </w:tc>
        <w:tc>
          <w:tcPr>
            <w:tcW w:w="764"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$13.00</w:t>
            </w:r>
          </w:p>
        </w:tc>
        <w:tc>
          <w:tcPr>
            <w:tcW w:w="764"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$17.00</w:t>
            </w:r>
          </w:p>
        </w:tc>
        <w:tc>
          <w:tcPr>
            <w:tcW w:w="764"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$21.00</w:t>
            </w:r>
          </w:p>
        </w:tc>
        <w:tc>
          <w:tcPr>
            <w:tcW w:w="764"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$25.00</w:t>
            </w:r>
          </w:p>
        </w:tc>
        <w:tc>
          <w:tcPr>
            <w:tcW w:w="764"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$29.00</w:t>
            </w:r>
          </w:p>
        </w:tc>
        <w:tc>
          <w:tcPr>
            <w:tcW w:w="764"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22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$33.00</w:t>
            </w:r>
          </w:p>
        </w:tc>
        <w:tc>
          <w:tcPr>
            <w:tcW w:w="764" w:type="dxa"/>
            <w:gridSpan w:val="3"/>
            <w:tcBorders>
              <w:top w:val="single" w:sz="8" w:space="0" w:color="000000"/>
              <w:left w:val="single" w:sz="8" w:space="0" w:color="000000"/>
              <w:bottom w:val="single" w:sz="8" w:space="0" w:color="000000"/>
              <w:right w:val="single" w:sz="8" w:space="0" w:color="000000"/>
            </w:tcBorders>
            <w:tcMar>
              <w:top w:w="30" w:type="dxa"/>
              <w:left w:w="51" w:type="dxa"/>
              <w:bottom w:w="30" w:type="dxa"/>
              <w:right w:w="51"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(1)    </w:t>
      </w:r>
      <w:r>
        <w:rPr>
          <w:rFonts w:ascii="Times New Roman;serif" w:hAnsi="Times New Roman;serif"/>
          <w:b w:val="false"/>
          <w:color w:val="000000"/>
          <w:sz w:val="20"/>
          <w:shd w:fill="FFFFFF" w:val="clear"/>
        </w:rPr>
        <w:t>The Stock Price Hurdles will be adjusted as appropriate to reflect any stock splits, stock dividends, combinations, reorganizations, reclassifications or similar event, in accordance with the terms of the Plan and the Agreement. The Committee, in order to prevent diminution or enlargement of the benefits or potential benefits intended to be made available under the Agreement, will make the determination of any such adjustments required in connection with any such event. For the avoidance of doubt, the adjustment provisions contained in the Plan (as modified in the Agreement) are incorporated herein by reference herein.</w:t>
      </w:r>
    </w:p>
    <w:p>
      <w:pPr>
        <w:pStyle w:val="TextBody"/>
        <w:bidi w:val="0"/>
        <w:spacing w:before="0" w:after="0"/>
        <w:jc w:val="left"/>
        <w:rPr/>
      </w:pPr>
      <w:r>
        <w:rPr/>
      </w:r>
    </w:p>
    <w:p>
      <w:pPr>
        <w:pStyle w:val="TextBody"/>
        <w:bidi w:val="0"/>
        <w:spacing w:lineRule="auto" w:line="276"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provided in Sections 5 or 6 of this </w:t>
      </w:r>
      <w:r>
        <w:rPr>
          <w:rFonts w:ascii="Times New Roman;serif" w:hAnsi="Times New Roman;serif"/>
          <w:b w:val="false"/>
          <w:color w:val="000000"/>
          <w:sz w:val="24"/>
          <w:u w:val="single"/>
        </w:rPr>
        <w:t xml:space="preserve">Exhibit </w:t>
      </w:r>
      <w:r>
        <w:rPr>
          <w:rFonts w:ascii="Times New Roman;serif" w:hAnsi="Times New Roman;serif"/>
          <w:b w:val="false"/>
          <w:color w:val="000000"/>
          <w:sz w:val="24"/>
        </w:rPr>
        <w:t xml:space="preserve">B, subject to Participant’s continued employment with the Company and its Subsidiaries through the applicable date, the Time-Based Vesting Condition shall be satisfied as to (i) Tranche 1 on April 15, 2026 ; (ii) Tranche 2 in four substantially equal installments starting on July 15, 2026 and continuing on each date that is three (3) months thereafter; (iii) Tranche 3 in four substantially equal installments starting July 15, 2027 and continuing on each date that is three (3) months thereafter; (iv) Tranches 4 and 5 in four substantially equal installments starting on July 15, 2028 and continuing on each date that is three (3) months thereafter; (v) Tranches 6 in four substantially equal installments starting July 15, 2029 and continuing on each date that is three (3) months thereafter; and (vi) Tranche 7 in four substantially equal installments starting on January 15, 2030 and continuing on each date that is three (3) months thereafter, such that the Time-Based Vesting Condition shall be satisfied with respect to one hundred percent (100%) of the Award on October 15, 2030. If Participant’s employment with the Company and its </w:t>
      </w:r>
    </w:p>
    <w:p>
      <w:pPr>
        <w:pStyle w:val="TextBody"/>
        <w:bidi w:val="0"/>
        <w:spacing w:before="0" w:after="0"/>
        <w:jc w:val="center"/>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0520"/>
                <wp:effectExtent l="0" t="0" r="0" b="0"/>
                <wp:wrapNone/>
                <wp:docPr id="204"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Subsidiaries terminates for any reason prior to October 15, 2030, then, except as set forth in Section 5 and Section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any PSUs that have not satisfied the Time-Based Vesting Condition pursuant to this Section 3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that Participant experiences a termination of employment due to Participant’s death or Disability then, notwithstanding anything herein to the contrary, any Tranche that, as of the Termination Date, has met the Performance-Based Vesting Condition (other than by reason of a Change in Control) but has not met the Time-Based Vesting Condition will be deemed to have met the Time-Based Vesting Condition and will automatically vest as of the Termination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that Participant experiences a Qualifying Termination, then, notwithstanding anything herein to the contrary, (i) for purposes of determining whether any Time-Based Vesting Condition has been satisfied, Participant will be deemed to have remained employed through the Tail Period and (ii) the Tranche with the lowest associated Stock Price Hurdle of the Tranches for which the Performance-Based Vesting Condition has not been met as of the Termination Date (if any) will remain outstanding and eligible to satisfy the Performance-Based Vesting Condition during the Tail Period. After the end of the Tail Period, the Committee will determine whether any additional PSUs have become vested by virtue of satisfying both the Performance-Based Vesting Condition and the Time-Based Vesting Condition and any such PSUs will vest as of the last day of the Tail Period. </w:t>
      </w:r>
    </w:p>
    <w:p>
      <w:pPr>
        <w:pStyle w:val="TextBody"/>
        <w:bidi w:val="0"/>
        <w:spacing w:lineRule="auto" w:line="276"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Participant’s termination of employment, any PSUs that do not become vested pursuant to Section 5(a) or 5(b), or pursuant to Section 6 (if applicable),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Upon the Change in Control Date, any Tranche for which the Performance-Based Vesting Condition has not been achieved prior to the Change in Control Date and that corresponds to a Stock Price Hurdle that is less than or equal to the Change in Control Price will be deemed to have satisfied the Performance-Based Vesting Condition and will remain outstanding and eligible to vest, subject to achievement of the Time-Based Vesting Condition. Any Tranche for which the Performance-Based Vesting Condition has not been achieved as of the Change in Control Date as described in this Section 6 will be forfeited and cancelled for no consideration in respect thereof.</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Qualifying Termination during the CIC Protection Period, then (i) as of the later of the Change in Control Date and the Termination Date, the Time-Based Vesting Condition will be deemed to be satisfied with respect to a number of PSUs equal to (A) the product of (1) the total number of PSUs granted pursuant to the Award and (2) the CIC Performance Factor, minus (B) the sum of (x) the number of PSUs that have already vested prior to the Qualifying Termination and (y) the number of PSUs that were forfeited and cancelled for no consideration in respect thereof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provided that if clause (B) is greater than clause (A), then no additional PSUs will vest and (ii) any PSUs that do not become vested pursuant to clause (i) will be forfeited and cancelled for no consideration in respect thereof. </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satisfaction of the Release Requirement. </w:t>
      </w:r>
    </w:p>
    <w:p>
      <w:pPr>
        <w:pStyle w:val="TextBody"/>
        <w:bidi w:val="0"/>
        <w:spacing w:before="0" w:after="0"/>
        <w:jc w:val="center"/>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1155"/>
                <wp:effectExtent l="0" t="0" r="0" b="0"/>
                <wp:wrapNone/>
                <wp:docPr id="205" name="Frame2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expiration of the Performance Period, each Tranche for which either (or both) of the Performance-Based Vesting Condition or the Time-Based Vesting Condition has not been satisfied will be forfeited and cancelled for no consideration in respect thereof. </w:t>
      </w:r>
    </w:p>
    <w:p>
      <w:pPr>
        <w:pStyle w:val="TextBody"/>
        <w:bidi w:val="0"/>
        <w:spacing w:lineRule="auto" w:line="276"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Dividend Equivalents</w:t>
      </w:r>
      <w:r>
        <w:rPr>
          <w:rFonts w:ascii="Times New Roman;serif" w:hAnsi="Times New Roman;serif"/>
          <w:b w:val="false"/>
          <w:color w:val="000000"/>
          <w:sz w:val="24"/>
        </w:rPr>
        <w:t>. Each Tranche that has met the Performance-Based Vesting Condition but has not met the Time-Based Vesting Condition will accrue Dividend Equivalents from the date on which the Performance-Based Vesting Condition is met until the earlier of (a) the date on which the Time-Based Vesting Condition is met and (b) the date on which the Tranche is forfeited. Dividend Equivalents will be subject to the same Time-Based Vesting Conditions and the same settlement terms as the Tranche with respect to which they are credited.</w:t>
      </w:r>
    </w:p>
    <w:p>
      <w:pPr>
        <w:pStyle w:val="TextBody"/>
        <w:bidi w:val="0"/>
        <w:spacing w:lineRule="auto" w:line="276"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76"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means (i) if the Change in Control Price is equal to or greater than $25.00 but less than $29.00, a fraction, the numerator of which is equal to five (5) and the denominator of which is equal to seven (7), (ii) if the Change in Control Price is equal to or greater than $29.00 but less than $33.00, a fraction, the numerator of which is equal to six (6) and the denominator of which is equal to seven (7) or (iii) if the Change in Control Price is equal to or greater than $33.00, one (1).</w:t>
      </w:r>
    </w:p>
    <w:p>
      <w:pPr>
        <w:pStyle w:val="TextBody"/>
        <w:bidi w:val="0"/>
        <w:spacing w:lineRule="auto" w:line="276"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 xml:space="preserve">CIC Protection Period” </w:t>
      </w:r>
      <w:r>
        <w:rPr>
          <w:rFonts w:ascii="Times New Roman;serif" w:hAnsi="Times New Roman;serif"/>
          <w:b w:val="false"/>
          <w:color w:val="000000"/>
          <w:sz w:val="24"/>
        </w:rPr>
        <w:t>means the period commencing three (3) months prior to, and ending twelve (12) months following, a Change in Control.</w:t>
      </w:r>
    </w:p>
    <w:p>
      <w:pPr>
        <w:pStyle w:val="TextBody"/>
        <w:bidi w:val="0"/>
        <w:spacing w:lineRule="auto" w:line="276"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 xml:space="preserve">means the average closing price of a Share on the Securities Exchange for any consecutive period of thirty (30) Trading Days that both begins and ends during the Performance Period. </w:t>
      </w:r>
    </w:p>
    <w:p>
      <w:pPr>
        <w:pStyle w:val="TextBody"/>
        <w:bidi w:val="0"/>
        <w:spacing w:lineRule="auto" w:line="276"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shall have the meaning set forth in the Company’s long-term disability plan, as in effect from time to time (or, if no such plan is then in effect, as such term was most recently defined therein).</w:t>
      </w:r>
    </w:p>
    <w:p>
      <w:pPr>
        <w:pStyle w:val="TextBody"/>
        <w:bidi w:val="0"/>
        <w:spacing w:lineRule="auto" w:line="276"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 xml:space="preserve">means the period commencing on April 15, 2026 and ending on October 15, 2030. </w:t>
      </w:r>
    </w:p>
    <w:p>
      <w:pPr>
        <w:pStyle w:val="TextBody"/>
        <w:bidi w:val="0"/>
        <w:spacing w:lineRule="auto" w:line="276"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76"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means Participant’s employment with the Company and its Subsidiaries is terminated (i) by Participant for Good Reason, or (ii) by the Company or its applicable Subsidiary other than for Cause (each as defined in the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Release Requirement</w:t>
      </w:r>
      <w:r>
        <w:rPr>
          <w:color w:val="000000"/>
        </w:rPr>
        <w:t xml:space="preserve">” </w:t>
      </w:r>
      <w:r>
        <w:rPr>
          <w:rFonts w:ascii="Times New Roman;serif" w:hAnsi="Times New Roman;serif"/>
          <w:b w:val="false"/>
          <w:color w:val="000000"/>
          <w:sz w:val="24"/>
        </w:rPr>
        <w:t xml:space="preserve">means the requirement that Participant execute and deliver (without revoking) to the Company or its applicable Subsidiary a release of claims in favor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1155"/>
                <wp:effectExtent l="0" t="0" r="0" b="0"/>
                <wp:wrapNone/>
                <wp:docPr id="206" name="Frame2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Company Group on the Company Group’s standard form of release of claims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on or after the date of a Qualifying Termination and on or before the 21st day following the date on which the Company or its applicable Subsidiary delivers the Release to Participant.</w:t>
      </w:r>
    </w:p>
    <w:p>
      <w:pPr>
        <w:pStyle w:val="TextBody"/>
        <w:bidi w:val="0"/>
        <w:spacing w:lineRule="auto" w:line="276"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76" w:before="0" w:after="240"/>
        <w:ind w:left="0" w:right="0" w:hanging="36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Tail Period</w:t>
      </w:r>
      <w:r>
        <w:rPr>
          <w:color w:val="000000"/>
        </w:rPr>
        <w:t xml:space="preserve">” </w:t>
      </w:r>
      <w:r>
        <w:rPr>
          <w:rFonts w:ascii="Times New Roman;serif" w:hAnsi="Times New Roman;serif"/>
          <w:b w:val="false"/>
          <w:color w:val="000000"/>
          <w:sz w:val="24"/>
        </w:rPr>
        <w:t>means, if Participant experiences a Qualifying Termination, the consecutive period of sixty (60) Trading Days beginning on the first Trading Day immediately following the Termination Date (or such shorter period of consecutive Trading Days that commences on the first Trading Day immediately following the Termination Date and ends on the last day of the Performance Period).</w:t>
      </w:r>
    </w:p>
    <w:p>
      <w:pPr>
        <w:pStyle w:val="TextBody"/>
        <w:bidi w:val="0"/>
        <w:spacing w:lineRule="auto" w:line="276"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shall mean the last day of Participant’s employment with the Company or Subsidiary,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76"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lineRule="auto" w:line="276"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1155"/>
                <wp:effectExtent l="0" t="0" r="0" b="0"/>
                <wp:wrapNone/>
                <wp:docPr id="207" name="Frame2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C</w:t>
      </w:r>
    </w:p>
    <w:p>
      <w:pPr>
        <w:pStyle w:val="TextBody"/>
        <w:bidi w:val="0"/>
        <w:spacing w:lineRule="auto" w:line="288" w:before="0" w:after="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NOTICE OF PARTICIPATION</w:t>
      </w:r>
    </w:p>
    <w:p>
      <w:pPr>
        <w:pStyle w:val="TextBody"/>
        <w:bidi w:val="0"/>
        <w:spacing w:before="0" w:after="0"/>
        <w:jc w:val="center"/>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Attachment D</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 xml:space="preserve">OPENDOOR OPERATIONS CANADA INC. </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EMPLOYEE CONFIDENTIAL INFORMATION AND INVENTION ASSIGNMENT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10.40</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4"/>
        </w:rPr>
        <w:t>Opendoor Labs Inc.</w:t>
        <w:br/>
      </w:r>
      <w:r>
        <w:rPr>
          <w:rFonts w:ascii="Times New Roman;serif" w:hAnsi="Times New Roman;serif"/>
          <w:b w:val="false"/>
          <w:color w:val="000000"/>
          <w:sz w:val="24"/>
        </w:rPr>
        <w:t>1295 West Washington Street, Suite 115</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Tempe, AZ 85288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December 12,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Christy Schwartz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VIA 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Christy:</w:t>
      </w:r>
    </w:p>
    <w:p>
      <w:pPr>
        <w:pStyle w:val="TextBody"/>
        <w:bidi w:val="0"/>
        <w:spacing w:lineRule="auto" w:line="288" w:before="0" w:after="240"/>
        <w:ind w:left="0" w:right="0" w:firstLine="720"/>
        <w:jc w:val="both"/>
        <w:rPr/>
      </w:pPr>
      <w:r>
        <w:rPr>
          <w:rFonts w:ascii="Times New Roman;serif" w:hAnsi="Times New Roman;serif"/>
          <w:b w:val="false"/>
          <w:color w:val="000000"/>
          <w:sz w:val="24"/>
        </w:rPr>
        <w:t>Opendoor Labs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is pleased to offer you continued employment on the terms described in 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effective as of January 1,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This Agreement shall amend, restate and supersede your offer letter agreement with the Company dated September 18, 2025 (the “</w:t>
      </w:r>
      <w:r>
        <w:rPr>
          <w:rFonts w:ascii="Times New Roman;serif" w:hAnsi="Times New Roman;serif"/>
          <w:b w:val="false"/>
          <w:color w:val="000000"/>
          <w:sz w:val="24"/>
          <w:u w:val="single"/>
        </w:rPr>
        <w:t>Current Agreement</w:t>
      </w:r>
      <w:r>
        <w:rPr>
          <w:color w:val="000000"/>
        </w:rPr>
        <w:t>”</w:t>
      </w:r>
      <w:r>
        <w:rPr>
          <w:rFonts w:ascii="Times New Roman;serif" w:hAnsi="Times New Roman;serif"/>
          <w:b w:val="false"/>
          <w:color w:val="000000"/>
          <w:sz w:val="24"/>
        </w:rPr>
        <w:t xml:space="preserve">) its entirety. Until the Effective Date, the Current Agreement shall continue in full force and effect in accordance with its terms. </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 Beginning on the Effective Date, you will cease to serve as the interim Chief Financial Officer of the Company, and you will serve as Chief Financial Officer of the Company. You will report to the Company’s Chief Executive Officer (currently Kaz Nejatian). In this role, you will be responsible for performing such duties as are customarily associated with such position, and such other responsibilities consistent with your title, as may be assigned to you by the Company’s CEO or the Company’s Board. During your employment with the Company, you will devote your reasonable best efforts and substantially all of your business time and attention to the business of Opendoor Technologies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the Company and its subsidiaries (together,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except for approved vacation periods and reasonable periods of illness or other incapacities permitted by the Company Group’s general employment policies. </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Work Location and Residence</w:t>
      </w:r>
      <w:r>
        <w:rPr>
          <w:rFonts w:ascii="Times New Roman;serif" w:hAnsi="Times New Roman;serif"/>
          <w:b w:val="false"/>
          <w:color w:val="000000"/>
          <w:sz w:val="24"/>
        </w:rPr>
        <w:t>. You will work primarily from one or more of the Company Group’s offices, as selected by you in your reasonable discretion.</w: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Salary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During the period commencing on the Effective Date and ending on May 15, 2026, your annual base salary will be one million two hundred thousand dollars ($1,200,000 USD). Commencing on May 16, 2026, your annual base salary will be adjusted to five hundred thousand dollars ($500,000 USD). By signing this Agreement, you consent to such adjustment of your base salary and agree that such adjustment does not constitute “Good Reason” under the Company’s Executive Severance Plan or any other arrangements between you and the Company. As an exempt salaried employee, you will be required to work the Company’s normal business hours, and such additional time as appropriate for your work assignments and position, and you will not be entitled to overtime compensation. The Company may change your base salary from time to time with reasonable advance notice, subject to the terms and conditions set forth herein, and provided that any decrease in your base salary is done at the same time and in the same amount (on a percentage basis) as all other senior executives.</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25780"/>
                <wp:effectExtent l="0" t="0" r="0" b="0"/>
                <wp:wrapNone/>
                <wp:docPr id="210" name="Frame20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Signing/Retention Payments</w:t>
      </w:r>
      <w:r>
        <w:rPr>
          <w:rFonts w:ascii="Times New Roman;serif" w:hAnsi="Times New Roman;serif"/>
          <w:b w:val="false"/>
          <w:color w:val="000000"/>
          <w:sz w:val="24"/>
        </w:rPr>
        <w:t>. You will be paid a lump sum cash payment in the amount of one hundred thousand dollars ($100,000 USD), less applicable withholdings and required deductions, on the first regular payroll date after the Effective Date. In addition, you will be paid a lump sum cash payment in an amount equal to the difference between $1,200,000 and any salary (before taxes, deductions, and withholdings) paid to you from September 18, 2025 through May 15, 2026, less applicable withholdings and required deductions, on the first regular payroll date after May 15, 2026, provided that you have not voluntarily resigned without Good Reason or been terminated with Cause (in case, as defined in the Severance Plan) on or prior to such date.</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will be eligible to participate in all of the employee benefit plans or programs the Company generally makes available to its senior executives, including without limitation, medical, dental, vision, retirement, and life insurance plans, pursuant to the terms and conditions of such plans. You will be eligible for Company-paid holidays and paid time off in accordance with the Company’s policies. The Company may, from time to time, change these benefits in its discretion, provided that you shall be treated no less favorably than similarly situated employees. Additional information regarding these benefits is available for your review upon request.</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Equity</w:t>
      </w:r>
      <w:r>
        <w:rPr>
          <w:rFonts w:ascii="Times New Roman;serif" w:hAnsi="Times New Roman;serif"/>
          <w:b w:val="false"/>
          <w:color w:val="000000"/>
          <w:sz w:val="24"/>
        </w:rPr>
        <w:t>. You acknowledge that, pursuant to the Current Agreement, Parent granted you an award of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covering 400,641 shares of Parent’s common stock on November 11, 2025. These RSUs remain outstanding and will vest pursuant to their existing terms. The sign-on equity awards described below in this paragraph 6 are intended to be your exclusive long-term incentive compensation from the Company Group during the performance and vesting periods covered by such awards.</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First Sign-On PSU Award</w:t>
      </w:r>
      <w:r>
        <w:rPr>
          <w:rFonts w:ascii="Times New Roman;serif" w:hAnsi="Times New Roman;serif"/>
          <w:b w:val="false"/>
          <w:color w:val="000000"/>
          <w:sz w:val="24"/>
        </w:rPr>
        <w:t>.  Prior to the Effective Date, and subject to your continued employment with the Company on the date of grant, the Board of Directors or Compensation Committee of Parent will grant you an award of performance-based RSUs with a stock price performance gate covering 1,695,000 shares of the Parent’s common stock (the “</w:t>
      </w:r>
      <w:r>
        <w:rPr>
          <w:rFonts w:ascii="Times New Roman;serif" w:hAnsi="Times New Roman;serif"/>
          <w:b w:val="false"/>
          <w:color w:val="000000"/>
          <w:sz w:val="24"/>
          <w:u w:val="single"/>
        </w:rPr>
        <w:t>First Sign-On PSU Award</w:t>
      </w:r>
      <w:r>
        <w:rPr>
          <w:color w:val="000000"/>
        </w:rPr>
        <w:t>”</w:t>
      </w:r>
      <w:r>
        <w:rPr>
          <w:rFonts w:ascii="Times New Roman;serif" w:hAnsi="Times New Roman;serif"/>
          <w:b w:val="false"/>
          <w:color w:val="000000"/>
          <w:sz w:val="24"/>
        </w:rPr>
        <w:t xml:space="preserve">). The First Sign-On PSU Award will be granted pursuant to the form of grant notice and award agreement attached to this Agreement as </w:t>
      </w:r>
      <w:r>
        <w:rPr>
          <w:rFonts w:ascii="Times New Roman;serif" w:hAnsi="Times New Roman;serif"/>
          <w:b w:val="false"/>
          <w:color w:val="000000"/>
          <w:sz w:val="24"/>
          <w:u w:val="single"/>
        </w:rPr>
        <w:t>Attachment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First Sign-On PSU Award Agreement</w:t>
      </w:r>
      <w:r>
        <w:rPr>
          <w:color w:val="000000"/>
        </w:rPr>
        <w:t>”</w:t>
      </w:r>
      <w:r>
        <w:rPr>
          <w:rFonts w:ascii="Times New Roman;serif" w:hAnsi="Times New Roman;serif"/>
          <w:b w:val="false"/>
          <w:color w:val="000000"/>
          <w:sz w:val="24"/>
        </w:rPr>
        <w:t xml:space="preserve">) and will be subject to all terms and conditions set forth in the First Sign-On PSU Award Agreement. </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Second Sign-On PSU Award</w:t>
      </w:r>
      <w:r>
        <w:rPr>
          <w:rFonts w:ascii="Times New Roman;serif" w:hAnsi="Times New Roman;serif"/>
          <w:b w:val="false"/>
          <w:color w:val="000000"/>
          <w:sz w:val="24"/>
        </w:rPr>
        <w:t>. Prior to the Effective Date, and subject to your continued employment with the Company on the date of grant, the Board of Directors or Compensation Committee of Parent will grant you an award of performance-based RSUs covering 1,695,000 shares of the Company’s common stock (the “</w:t>
      </w:r>
      <w:r>
        <w:rPr>
          <w:rFonts w:ascii="Times New Roman;serif" w:hAnsi="Times New Roman;serif"/>
          <w:b w:val="false"/>
          <w:color w:val="000000"/>
          <w:sz w:val="24"/>
          <w:u w:val="single"/>
        </w:rPr>
        <w:t>Second Sign-On PSU Award</w:t>
      </w:r>
      <w:r>
        <w:rPr>
          <w:color w:val="000000"/>
        </w:rPr>
        <w:t>”</w:t>
      </w:r>
      <w:r>
        <w:rPr>
          <w:rFonts w:ascii="Times New Roman;serif" w:hAnsi="Times New Roman;serif"/>
          <w:b w:val="false"/>
          <w:color w:val="000000"/>
          <w:sz w:val="24"/>
        </w:rPr>
        <w:t xml:space="preserve">). The Second Sign-On PSU Award will be granted pursuant to the form of grant notice and award agreement attached to this Agreement as </w:t>
      </w:r>
      <w:r>
        <w:rPr>
          <w:rFonts w:ascii="Times New Roman;serif" w:hAnsi="Times New Roman;serif"/>
          <w:b w:val="false"/>
          <w:color w:val="000000"/>
          <w:sz w:val="24"/>
          <w:u w:val="single"/>
        </w:rPr>
        <w:t>Attachment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Second Sign-On PSU Award Agreement</w:t>
      </w:r>
      <w:r>
        <w:rPr>
          <w:color w:val="000000"/>
        </w:rPr>
        <w:t>”</w:t>
      </w:r>
      <w:r>
        <w:rPr>
          <w:rFonts w:ascii="Times New Roman;serif" w:hAnsi="Times New Roman;serif"/>
          <w:b w:val="false"/>
          <w:color w:val="000000"/>
          <w:sz w:val="24"/>
        </w:rPr>
        <w:t xml:space="preserve">) and will be subject to all terms and conditions set forth in the Second Sign-On PSU Award Agreement. </w:t>
      </w:r>
    </w:p>
    <w:p>
      <w:pPr>
        <w:pStyle w:val="TextBody"/>
        <w:bidi w:val="0"/>
        <w:spacing w:lineRule="auto" w:line="288"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Expenses</w:t>
      </w:r>
      <w:r>
        <w:rPr>
          <w:rFonts w:ascii="Times New Roman;serif" w:hAnsi="Times New Roman;serif"/>
          <w:b w:val="false"/>
          <w:color w:val="000000"/>
          <w:sz w:val="24"/>
        </w:rPr>
        <w:t xml:space="preserve">. You will be entitled to reimbursement for all ordinary and reasonable out-of-pocket business expenses which are reasonably incurred by you in furtherance of the Company Group’s business, with appropriate documentation and in accordance with the Company Group’s standard policies. Any reimbursement of expenses or in-kind benefits payable under this Agreement shall be made in accordance with Treasury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03555"/>
                <wp:effectExtent l="0" t="0" r="0" b="0"/>
                <wp:wrapNone/>
                <wp:docPr id="211" name="Frame21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 </w:t>
      </w:r>
    </w:p>
    <w:p>
      <w:pPr>
        <w:pStyle w:val="TextBody"/>
        <w:bidi w:val="0"/>
        <w:spacing w:lineRule="auto" w:line="276"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Compliance with Confidentiality Information Agreement and Company Policies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acknowledge and agree that you have previously delivered the Confidential Information and Inventions Assignment Agreement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dated September 30, 2025. You acknowledge and agree that you continue to be bound by the terms of the Confidentiality Agreement, and nothing in this Agreement affects or modifies the terms of the Confidentiality Agreement. In addition, you acknowledge your obligations to abide by the Company Group’s policies and procedures (including but not limited to the Company Group’s employee handbook), as adopted or modified from time to time within the Company Group’s discretion, and acknowledge in writing that you have read and will comply with such policies and procedures (and provide additional such acknowledgements as such policies and procedures may be modified from time to time)</w:t>
      </w:r>
      <w:r>
        <w:rPr>
          <w:rFonts w:ascii="Garamond;serif" w:hAnsi="Garamond;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the terms of this Agreement differ from or are in conflict with the Company Group’s general employment policies or practices, this Agreement shall control.</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in this Agreement or the Confidentiality Agreement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Employee has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Protection of Third-Party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By signing this Agreement, you are representing that you have full authority to accept this position and perform the duties of the position commencing on the Effective Date without conflict with any other obligations and that you are not involved in any situation that might create, or appear to create, a conflict of interest with respect to your loyalty to or duties for the Company. You specifically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03555"/>
                <wp:effectExtent l="0" t="0" r="0" b="0"/>
                <wp:wrapNone/>
                <wp:docPr id="212" name="Frame21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you are not subject to an employment agreement or restrictive covenant preventing full performance of your duties to the Company on and after the Effective Date.</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Employment Relationship</w:t>
      </w:r>
      <w:r>
        <w:rPr>
          <w:rFonts w:ascii="Times New Roman;serif" w:hAnsi="Times New Roman;serif"/>
          <w:b w:val="false"/>
          <w:color w:val="000000"/>
          <w:sz w:val="24"/>
        </w:rPr>
        <w:t>. Your employment with the Company is for no specific period of time. Your employment with the Company is “at will,” meaning that either you or the Company may terminate your employment at any time and for any reason, with or without Cause (as defined in the Severance Plan) and with or without advance notice. Any contrary representations which may have been made to you are superseded by this offer. This Agreement, including the Attachments hereto, is the full and complete agreement between you and the Company Group regarding your employment. The “at will” nature of your employment may only be changed in an express written agreement signed by you and the Board. You will not be entitled to any severance or termination benefits from the Company Group, other than as expressly set forth in this Agreement or its Attachment. Upon your termination of employment for any reason, the Company will pay you all compensation and accrued, unused paid-time-off, if applicable, earned but not paid through the date of termination and vested benefits as required under applicable law or the terms of any applicable benefit plan.</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Severance</w:t>
      </w:r>
      <w:r>
        <w:rPr>
          <w:rFonts w:ascii="Times New Roman;serif" w:hAnsi="Times New Roman;serif"/>
          <w:b w:val="false"/>
          <w:color w:val="000000"/>
          <w:sz w:val="24"/>
        </w:rPr>
        <w:t>. You may be entitled to severance upon certain qualifying terminations of employment, as outlined in the Opendoor Technologies Inc. Executive Severance Plan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By signing this Agreement and the Participation Agreement with respect to your participation in the Severance Plan, attached hereto as Attachment C (the “</w:t>
      </w:r>
      <w:r>
        <w:rPr>
          <w:rFonts w:ascii="Times New Roman;serif" w:hAnsi="Times New Roman;serif"/>
          <w:b w:val="false"/>
          <w:color w:val="000000"/>
          <w:sz w:val="24"/>
          <w:u w:val="single"/>
        </w:rPr>
        <w:t>Participation Agreement</w:t>
      </w:r>
      <w:r>
        <w:rPr>
          <w:color w:val="000000"/>
        </w:rPr>
        <w:t>”</w:t>
      </w:r>
      <w:r>
        <w:rPr>
          <w:rFonts w:ascii="Times New Roman;serif" w:hAnsi="Times New Roman;serif"/>
          <w:b w:val="false"/>
          <w:color w:val="000000"/>
          <w:sz w:val="24"/>
        </w:rPr>
        <w:t xml:space="preserve">), you acknowledge your designation as a Tier 2 Executive (as defined in the Severance Plan) in the Severance Plan and your understanding that you agree to all the terms and conditions of the Severance Plan. </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Outside Activities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During your employment by the Company, except on behalf of the Company Group,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Group (or is planning or preparing to compete with the Company Group), anywhere in the world, in any line of business engaged in (or planned to be engaged in) by the Company Group;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you may purchase or otherwise acquire up to (but not more than) 1% of any class of securities of any enterprise (but without participating in the activities of such enterprise) and you may passively invest in hedge funds, mutual funds, private equity funds and similar funds. Nothing in this Agreement shall prohibit or restrict you from managing your personal investments in companies (and serving on their boards) that are not competitive with the Company Group or engaging in civic, charitable, religious or political activities, sitting on a non-profit, professional, or industry boards, or conducting personal speaking or educational engagements, in each case provided such endeavors do not materially interfere with your obligations under this Agreement. In addition, in the event that you wish to undertake any substantial business activity outside the scope of your employment by the Company, which activity you believe entails no conflict with the Company Group’s business, you agree to inform the Board of your intentions prior to the initiation of such outside business activity, and you furthermore agree to abide by the Board’s decision, which shall be rendered in good faith, as to whether or not there is such a conflict. If, in the Board’s sole determination, such a conflict exists or is likely to develop, you agree not to undertake such outside business activity.</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03555"/>
                <wp:effectExtent l="0" t="0" r="0" b="0"/>
                <wp:wrapNone/>
                <wp:docPr id="213" name="Frame21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76" w:before="0" w:after="240"/>
        <w:ind w:left="0" w:right="0" w:firstLine="720"/>
        <w:jc w:val="both"/>
        <w:rPr/>
      </w:pPr>
      <w:r>
        <w:rPr>
          <w:rFonts w:ascii="Times New Roman;serif" w:hAnsi="Times New Roman;serif"/>
          <w:b w:val="false"/>
          <w:color w:val="010000"/>
          <w:sz w:val="24"/>
        </w:rPr>
        <w:t>(a)</w:t>
      </w:r>
      <w:r>
        <w:rPr>
          <w:rFonts w:ascii="Times New Roman;serif" w:hAnsi="Times New Roman;serif"/>
          <w:b/>
          <w:color w:val="000000"/>
          <w:sz w:val="24"/>
          <w:u w:val="single"/>
        </w:rPr>
        <w:t>Governing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validity, interpretation, construction and performance of this Agreement, and all acts and transactions pursuant hereto and the rights and obligations of the parties hereto shall be governed, construed and interpreted in accordance with the laws of state of California, without giving effect to principles of conflicts of law.</w:t>
      </w:r>
    </w:p>
    <w:p>
      <w:pPr>
        <w:pStyle w:val="TextBody"/>
        <w:bidi w:val="0"/>
        <w:spacing w:lineRule="auto" w:line="276" w:before="0" w:after="240"/>
        <w:ind w:left="0" w:right="0" w:firstLine="720"/>
        <w:jc w:val="both"/>
        <w:rPr/>
      </w:pPr>
      <w:r>
        <w:rPr>
          <w:rFonts w:ascii="Times New Roman;serif" w:hAnsi="Times New Roman;serif"/>
          <w:b w:val="false"/>
          <w:color w:val="010000"/>
          <w:sz w:val="24"/>
        </w:rPr>
        <w:t>(b)</w:t>
      </w:r>
      <w:r>
        <w:rPr>
          <w:rFonts w:ascii="Times New Roman;serif" w:hAnsi="Times New Roman;serif"/>
          <w:b/>
          <w:color w:val="000000"/>
          <w:sz w:val="24"/>
          <w:u w:val="single"/>
        </w:rPr>
        <w:t>Entire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acknowledge and agree that as of your execution of this Agreement, your sole entitlement to any compensation or benefits from the Company Group will be as set forth in this Agreement. This Agreement, including the Attachments hereto, set forth the entire agreement and understanding of the parties relating to the subject matter herein and supersedes all prior or contemporaneous discussions, understandings and agreements, whether oral or written, between you and the Company Group relating to the subject matter hereof, including, without limitation, the Current Agreement.</w:t>
      </w:r>
    </w:p>
    <w:p>
      <w:pPr>
        <w:pStyle w:val="TextBody"/>
        <w:bidi w:val="0"/>
        <w:spacing w:lineRule="auto" w:line="276" w:before="0" w:after="240"/>
        <w:ind w:left="0" w:right="0" w:firstLine="720"/>
        <w:jc w:val="both"/>
        <w:rPr/>
      </w:pPr>
      <w:r>
        <w:rPr>
          <w:rFonts w:ascii="Times New Roman;serif" w:hAnsi="Times New Roman;serif"/>
          <w:b w:val="false"/>
          <w:color w:val="010000"/>
          <w:sz w:val="24"/>
        </w:rPr>
        <w:t>(c)</w:t>
      </w:r>
      <w:r>
        <w:rPr>
          <w:rFonts w:ascii="Times New Roman;serif" w:hAnsi="Times New Roman;serif"/>
          <w:b/>
          <w:color w:val="000000"/>
          <w:sz w:val="24"/>
          <w:u w:val="single"/>
        </w:rPr>
        <w:t>Counterparts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pStyle w:val="TextBody"/>
        <w:bidi w:val="0"/>
        <w:spacing w:lineRule="auto" w:line="276" w:before="0" w:after="240"/>
        <w:ind w:left="0" w:right="0" w:firstLine="720"/>
        <w:jc w:val="both"/>
        <w:rPr/>
      </w:pPr>
      <w:r>
        <w:rPr>
          <w:rFonts w:ascii="Times New Roman;serif" w:hAnsi="Times New Roman;serif"/>
          <w:b w:val="false"/>
          <w:color w:val="010000"/>
          <w:sz w:val="24"/>
        </w:rPr>
        <w:t>(d)</w:t>
      </w:r>
      <w:r>
        <w:rPr>
          <w:rFonts w:ascii="Times New Roman;serif" w:hAnsi="Times New Roman;serif"/>
          <w:b/>
          <w:color w:val="000000"/>
          <w:sz w:val="24"/>
          <w:u w:val="single"/>
        </w:rPr>
        <w:t>Successors and Assigns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will bind the heirs, personal representatives, successors and assigns of both you and the Company, and inure to the benefit of both you and the Company, their heirs, successors and assigns, except that you may not assign any of your duties hereunder and you may not assign any of your rights hereunder, without the written consent of the Company.</w:t>
      </w:r>
    </w:p>
    <w:p>
      <w:pPr>
        <w:pStyle w:val="TextBody"/>
        <w:bidi w:val="0"/>
        <w:spacing w:lineRule="auto" w:line="276" w:before="0" w:after="240"/>
        <w:ind w:left="0" w:right="0" w:firstLine="720"/>
        <w:jc w:val="both"/>
        <w:rPr/>
      </w:pPr>
      <w:r>
        <w:rPr>
          <w:rFonts w:ascii="Times New Roman;serif" w:hAnsi="Times New Roman;serif"/>
          <w:b w:val="false"/>
          <w:color w:val="010000"/>
          <w:sz w:val="24"/>
        </w:rPr>
        <w:t>(e)</w:t>
      </w:r>
      <w:r>
        <w:rPr>
          <w:rFonts w:ascii="Times New Roman;serif" w:hAnsi="Times New Roman;serif"/>
          <w:b/>
          <w:color w:val="000000"/>
          <w:sz w:val="24"/>
          <w:u w:val="single"/>
        </w:rPr>
        <w:t>Severability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w:t>
      </w:r>
    </w:p>
    <w:p>
      <w:pPr>
        <w:pStyle w:val="TextBody"/>
        <w:bidi w:val="0"/>
        <w:spacing w:lineRule="auto" w:line="276" w:before="0" w:after="240"/>
        <w:ind w:left="0" w:right="0" w:firstLine="720"/>
        <w:jc w:val="both"/>
        <w:rPr/>
      </w:pPr>
      <w:r>
        <w:rPr>
          <w:rFonts w:ascii="Times New Roman;serif" w:hAnsi="Times New Roman;serif"/>
          <w:b w:val="false"/>
          <w:color w:val="010000"/>
          <w:sz w:val="24"/>
        </w:rPr>
        <w:t>(f)</w:t>
      </w:r>
      <w:r>
        <w:rPr>
          <w:rFonts w:ascii="Times New Roman;serif" w:hAnsi="Times New Roman;serif"/>
          <w:b/>
          <w:color w:val="000000"/>
          <w:sz w:val="24"/>
          <w:u w:val="single"/>
        </w:rPr>
        <w:t>Amendment or Waiver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 provision of this Agreement may be amended unless such amendment is expressly set forth in a writing that is signed by you and an authorized representative of the Company. Any waiver of a breach of this Agreement, or rights hereunder, shall not be effective unless expressly made in a writing that is signed by the party against whom it is sought to be enforced, and shall not be deemed to be a waiver of any successive breach or rights hereunder. </w:t>
      </w:r>
    </w:p>
    <w:p>
      <w:pPr>
        <w:pStyle w:val="TextBody"/>
        <w:bidi w:val="0"/>
        <w:spacing w:lineRule="auto" w:line="276" w:before="0" w:after="240"/>
        <w:ind w:left="0" w:right="0" w:firstLine="720"/>
        <w:jc w:val="both"/>
        <w:rPr/>
      </w:pPr>
      <w:r>
        <w:rPr>
          <w:rFonts w:ascii="Times New Roman;serif" w:hAnsi="Times New Roman;serif"/>
          <w:b w:val="false"/>
          <w:color w:val="010000"/>
          <w:sz w:val="24"/>
        </w:rPr>
        <w:t>(g)</w:t>
      </w:r>
      <w:r>
        <w:rPr>
          <w:rFonts w:ascii="Times New Roman;serif" w:hAnsi="Times New Roman;serif"/>
          <w:b/>
          <w:color w:val="000000"/>
          <w:sz w:val="24"/>
          <w:u w:val="single"/>
        </w:rPr>
        <w:t>Withholding</w:t>
      </w:r>
      <w:r>
        <w:rPr>
          <w:rFonts w:ascii="Times New Roman;serif" w:hAnsi="Times New Roman;serif"/>
          <w:b w:val="false"/>
          <w:color w:val="000000"/>
          <w:sz w:val="24"/>
        </w:rPr>
        <w:t>. All amounts payable to you will be subject to appropriate payroll deductions and withholdings.</w:t>
      </w:r>
    </w:p>
    <w:p>
      <w:pPr>
        <w:pStyle w:val="TextBody"/>
        <w:bidi w:val="0"/>
        <w:spacing w:lineRule="auto" w:line="276" w:before="0" w:after="240"/>
        <w:ind w:left="0" w:right="0" w:firstLine="720"/>
        <w:jc w:val="both"/>
        <w:rPr/>
      </w:pPr>
      <w:r>
        <w:rPr>
          <w:rFonts w:ascii="Times New Roman;serif" w:hAnsi="Times New Roman;serif"/>
          <w:b w:val="false"/>
          <w:color w:val="010000"/>
          <w:sz w:val="24"/>
        </w:rPr>
        <w:t>(h)</w:t>
      </w:r>
      <w:r>
        <w:rPr>
          <w:rFonts w:ascii="Times New Roman;serif" w:hAnsi="Times New Roman;serif"/>
          <w:b/>
          <w:color w:val="000000"/>
          <w:sz w:val="24"/>
          <w:u w:val="single"/>
        </w:rPr>
        <w:t>Electronic Delivery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may, in its sole discretion, decide to deliver any documents or notices related to this Agreement,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w:t>
      </w:r>
      <w:r>
        <w:rPr>
          <w:rFonts w:ascii="Garamond;serif" w:hAnsi="Garamond;serif"/>
          <w:b w:val="false"/>
          <w:color w:val="000000"/>
          <w:sz w:val="24"/>
        </w:rPr>
        <w:t xml:space="preserve">; </w:t>
      </w:r>
      <w:r>
        <w:rPr>
          <w:rFonts w:ascii="Times New Roman;serif" w:hAnsi="Times New Roman;serif"/>
          <w:b w:val="false"/>
          <w:color w:val="000000"/>
          <w:sz w:val="24"/>
        </w:rPr>
        <w:t>(ii) receive such documents and notices by such electronic delivery</w:t>
      </w:r>
      <w:r>
        <w:rPr>
          <w:rFonts w:ascii="Garamond;serif" w:hAnsi="Garamond;serif"/>
          <w:b w:val="false"/>
          <w:color w:val="000000"/>
          <w:sz w:val="24"/>
        </w:rPr>
        <w:t xml:space="preserve">; </w:t>
      </w:r>
      <w:r>
        <w:rPr>
          <w:rFonts w:ascii="Times New Roman;serif" w:hAnsi="Times New Roman;serif"/>
          <w:b w:val="false"/>
          <w:color w:val="000000"/>
          <w:sz w:val="24"/>
        </w:rPr>
        <w:t xml:space="preserve">and (iii) sign documents electronically and agree to participate through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03555"/>
                <wp:effectExtent l="0" t="0" r="0" b="0"/>
                <wp:wrapNone/>
                <wp:docPr id="214" name="Frame21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an on-line or electronic system established and maintained by the Company Group or a third party designated by the Company.</w:t>
      </w:r>
    </w:p>
    <w:p>
      <w:pPr>
        <w:pStyle w:val="TextBody"/>
        <w:bidi w:val="0"/>
        <w:spacing w:lineRule="auto" w:line="276" w:before="0" w:after="240"/>
        <w:ind w:left="0" w:right="0" w:firstLine="720"/>
        <w:jc w:val="both"/>
        <w:rPr/>
      </w:pPr>
      <w:r>
        <w:rPr>
          <w:rFonts w:ascii="Times New Roman;serif" w:hAnsi="Times New Roman;serif"/>
          <w:b/>
          <w:color w:val="010000"/>
          <w:sz w:val="24"/>
        </w:rPr>
        <w:t>(i)</w:t>
      </w:r>
      <w:r>
        <w:rPr>
          <w:rFonts w:ascii="Times New Roman;serif" w:hAnsi="Times New Roman;serif"/>
          <w:b/>
          <w:color w:val="000000"/>
          <w:sz w:val="24"/>
          <w:u w:val="single"/>
        </w:rPr>
        <w:t>Arbitration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agree that any and all disputes relating to or regarding your employment, including disputes regarding compensation and any and all other conflicts, shall be resolved pursuant to the Federal Arbitration Act, 9 U.S.C. § 1-16 (“</w:t>
      </w:r>
      <w:r>
        <w:rPr>
          <w:rFonts w:ascii="Times New Roman;serif" w:hAnsi="Times New Roman;serif"/>
          <w:b w:val="false"/>
          <w:color w:val="000000"/>
          <w:sz w:val="24"/>
          <w:u w:val="single"/>
        </w:rPr>
        <w:t>FAA</w:t>
      </w:r>
      <w:r>
        <w:rPr>
          <w:color w:val="000000"/>
        </w:rPr>
        <w:t>”</w:t>
      </w:r>
      <w:r>
        <w:rPr>
          <w:rFonts w:ascii="Times New Roman;serif" w:hAnsi="Times New Roman;serif"/>
          <w:b w:val="false"/>
          <w:color w:val="000000"/>
          <w:sz w:val="24"/>
        </w:rPr>
        <w:t>), or if inapplicable, the California Arbitration Act, to the fullest extent permitted by law, by final and binding arbitration. You further agree that such disputes shall be resolved on an individual basis only, and not on a class, collective or representative basis on behalf of other employees (“</w:t>
      </w:r>
      <w:r>
        <w:rPr>
          <w:rFonts w:ascii="Times New Roman;serif" w:hAnsi="Times New Roman;serif"/>
          <w:b w:val="false"/>
          <w:color w:val="000000"/>
          <w:sz w:val="24"/>
          <w:u w:val="single"/>
        </w:rPr>
        <w:t>Class Waiver</w:t>
      </w:r>
      <w:r>
        <w:rPr>
          <w:color w:val="000000"/>
        </w:rPr>
        <w:t>”</w:t>
      </w:r>
      <w:r>
        <w:rPr>
          <w:rFonts w:ascii="Times New Roman;serif" w:hAnsi="Times New Roman;serif"/>
          <w:b w:val="false"/>
          <w:color w:val="000000"/>
          <w:sz w:val="24"/>
        </w:rPr>
        <w:t>), to the extent permitted by applicable law. Any claim that all or part of the Class Waiver is invalid, unenforceable, unconscionable, void or voidable may be determined only by a court. In no case may class, collective or representative claims proceed in arbitration. Notwithstanding the foregoing, this paragraph shall not apply to an action or claim brought in court that cannot be subject to mandatory arbitration as a matter of law, including without limitation, claims alleging sexual harassment or a nonconsensual sexual action or sexual contact, to the extent any such claims are not permitted by applicable law to be submitted to mandatory arbitration and such applicable law is not preempted by the FAA or otherwise invalid (the “</w:t>
      </w:r>
      <w:r>
        <w:rPr>
          <w:rFonts w:ascii="Times New Roman;serif" w:hAnsi="Times New Roman;serif"/>
          <w:b w:val="false"/>
          <w:color w:val="000000"/>
          <w:sz w:val="24"/>
          <w:u w:val="single"/>
        </w:rPr>
        <w:t>Excluded Claims</w:t>
      </w:r>
      <w:r>
        <w:rPr>
          <w:color w:val="000000"/>
        </w:rPr>
        <w:t>”</w:t>
      </w:r>
      <w:r>
        <w:rPr>
          <w:rFonts w:ascii="Times New Roman;serif" w:hAnsi="Times New Roman;serif"/>
          <w:b w:val="false"/>
          <w:color w:val="000000"/>
          <w:sz w:val="24"/>
        </w:rPr>
        <w:t>). In the event you intend to bring multiple claims, including one of the Excluded Claims listed above, the Excluded Claims may be filed with a court, while any other claims will remain subject to mandatory arbitration. You and the Company agree to bring any dispute in arbitration before a single neutral arbitrator with JAMS, Inc. or its successor (“</w:t>
      </w:r>
      <w:r>
        <w:rPr>
          <w:rFonts w:ascii="Times New Roman;serif" w:hAnsi="Times New Roman;serif"/>
          <w:b w:val="false"/>
          <w:color w:val="000000"/>
          <w:sz w:val="24"/>
          <w:u w:val="single"/>
        </w:rPr>
        <w:t>JAMS</w:t>
      </w:r>
      <w:r>
        <w:rPr>
          <w:color w:val="000000"/>
        </w:rPr>
        <w:t>”</w:t>
      </w:r>
      <w:r>
        <w:rPr>
          <w:rFonts w:ascii="Times New Roman;serif" w:hAnsi="Times New Roman;serif"/>
          <w:b w:val="false"/>
          <w:color w:val="000000"/>
          <w:sz w:val="24"/>
        </w:rPr>
        <w:t xml:space="preserve">), in San Francisco, California or in the county of your residence if it is not in the San Francisco Bay Area at the time of the commencement of an arbitration proceeding, pursuant to the JAMS Employment Rules &amp; Procedures (which can currently be reviewed at http://www.jamsadr.com/rules-employment-arbitration/ and will be provided to you upon request). You on the one hand, and the Company on the other, waive any rights to a jury trial or a bench trial in connection with the resolution of any dispute under this Agreement or your employment (although both parties may seek interim emergency relief from a court to prevent irreparable harm pending the conclusion of any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You and the Company shall equally share all JAMS’ arbitration fees, or such fees shall be paid in such other manner to the extent required by, and in accordance with, applicable law to effectuate your and the Company’s agreement to arbitrate; provided, however, if you reside in California, the Company shall pay all JAMS’ arbitration fees in excess of the amount of court fees that would be required of you if the dispute were filed in Superior Court.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Each party is responsible for its own attorneys’ fees, except as expressly set forth in your Confidentiality Agreement.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This paragraph shall not apply to an action or claim brought in court pursuant to the California Private Attorneys General Act of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03555"/>
                <wp:effectExtent l="0" t="0" r="0" b="0"/>
                <wp:wrapNone/>
                <wp:docPr id="215" name="Frame21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2004, as amended. Arbitration is not a mandatory condition of your employment. </w:t>
      </w:r>
      <w:r>
        <w:rPr>
          <w:rFonts w:ascii="Times New Roman;serif" w:hAnsi="Times New Roman;serif"/>
          <w:b/>
          <w:color w:val="000000"/>
          <w:sz w:val="24"/>
        </w:rPr>
        <w:t>If you wish to opt out of this arbitration agreement, you must notify the Company in writing by sending an email to [***] stating your intent to opt out within 30 days of signing this Agreement.</w:t>
      </w:r>
    </w:p>
    <w:p>
      <w:pPr>
        <w:pStyle w:val="TextBody"/>
        <w:bidi w:val="0"/>
        <w:spacing w:lineRule="auto" w:line="276" w:before="0" w:after="240"/>
        <w:ind w:left="0" w:right="0" w:firstLine="720"/>
        <w:jc w:val="both"/>
        <w:rPr/>
      </w:pPr>
      <w:r>
        <w:rPr>
          <w:rFonts w:ascii="Times New Roman;serif" w:hAnsi="Times New Roman;serif"/>
          <w:b w:val="false"/>
          <w:color w:val="010000"/>
          <w:sz w:val="24"/>
        </w:rPr>
        <w:t>(j)</w:t>
      </w:r>
      <w:r>
        <w:rPr>
          <w:rFonts w:ascii="Times New Roman;serif" w:hAnsi="Times New Roman;serif"/>
          <w:b/>
          <w:color w:val="000000"/>
          <w:sz w:val="24"/>
          <w:u w:val="single"/>
        </w:rPr>
        <w:t>Company Representations</w:t>
      </w:r>
      <w:r>
        <w:rPr>
          <w:rFonts w:ascii="Times New Roman;serif" w:hAnsi="Times New Roman;serif"/>
          <w:b w:val="false"/>
          <w:color w:val="000000"/>
          <w:sz w:val="24"/>
        </w:rPr>
        <w:t xml:space="preserve">. The Company represents and warrants that (i) it is fully authorized by action of the Board of Directors of Parent to enter into this Agreement and perform its obligations under this Agreement, (ii) the execution, delivery and performance of this Agreement does not violate any applicable law, regulation, order, judgement or decree or any agreement, arrangement, plan or corporate governance document to which it is a party or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 </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03555"/>
                <wp:effectExtent l="0" t="0" r="0" b="0"/>
                <wp:wrapNone/>
                <wp:docPr id="216" name="Frame21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240" w:after="283"/>
                        <w:jc w:val="center"/>
                        <w:rPr/>
                      </w:pPr>
                      <w:r>
                        <w:rPr/>
                      </w:r>
                    </w:p>
                  </w:txbxContent>
                </v:textbox>
                <w10:wrap type="none"/>
              </v:rect>
            </w:pict>
          </mc:Fallback>
        </mc:AlternateContent>
      </w:r>
    </w:p>
    <w:p>
      <w:pPr>
        <w:pStyle w:val="TextBody"/>
        <w:bidi w:val="0"/>
        <w:spacing w:lineRule="auto" w:line="288" w:before="48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indicate your acceptance of the Company’s offer of employment, please sign and date this Agreement, and the enclosed Participation Agreement, in the space provided for your signature and return them to me within three business days of the date of this letter.</w:t>
      </w:r>
    </w:p>
    <w:p>
      <w:pPr>
        <w:pStyle w:val="TextBody"/>
        <w:bidi w:val="0"/>
        <w:spacing w:lineRule="auto" w:line="288" w:before="0" w:after="480"/>
        <w:ind w:left="0" w:right="0" w:hanging="546"/>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480"/>
        <w:ind w:left="0" w:right="0" w:hanging="546"/>
        <w:jc w:val="left"/>
        <w:rPr>
          <w:rFonts w:ascii="Times New Roman;serif" w:hAnsi="Times New Roman;serif"/>
          <w:b w:val="false"/>
          <w:color w:val="000000"/>
          <w:sz w:val="24"/>
        </w:rPr>
      </w:pPr>
      <w:r>
        <w:rPr>
          <w:rFonts w:ascii="Times New Roman;serif" w:hAnsi="Times New Roman;serif"/>
          <w:b w:val="false"/>
          <w:color w:val="000000"/>
          <w:sz w:val="24"/>
        </w:rPr>
        <w:t>OPENDOOR LABS INC.</w:t>
      </w:r>
    </w:p>
    <w:p>
      <w:pPr>
        <w:pStyle w:val="TextBody"/>
        <w:bidi w:val="0"/>
        <w:spacing w:lineRule="auto" w:line="288" w:before="0" w:after="0"/>
        <w:ind w:left="0" w:right="0" w:hanging="546"/>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Kaz Nejatian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Kaz Nejatian</w:t>
      </w:r>
    </w:p>
    <w:p>
      <w:pPr>
        <w:pStyle w:val="TextBody"/>
        <w:bidi w:val="0"/>
        <w:spacing w:lineRule="auto" w:line="288" w:before="0" w:after="360"/>
        <w:ind w:left="0" w:right="0" w:hanging="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360"/>
        <w:ind w:left="0" w:right="0" w:hanging="7"/>
        <w:jc w:val="left"/>
        <w:rPr/>
      </w:pPr>
      <w:r>
        <w:rPr/>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ACCEPTED AND AGREED:</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Christy Schwartz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Christy Schwartz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A: First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B: Second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C: Participation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A</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26415"/>
                <wp:effectExtent l="0" t="0" r="0" b="0"/>
                <wp:wrapNone/>
                <wp:docPr id="217" name="Frame2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90.6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FIRST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2020 Incentive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both of which are incorporated into this Grant Notice by reference. Capitalized terms not specifically defined in this Grant Notice or the Agreement have the meanings given to them in the Plan.</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 xml:space="preserve">Christy Schwartz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1,695,000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Vesting Commencement Date: </w:t>
      </w:r>
      <w:r>
        <w:rPr>
          <w:rFonts w:ascii="Arial;sans-serif" w:hAnsi="Arial;sans-serif"/>
          <w:b w:val="false"/>
          <w:color w:val="000000"/>
          <w:sz w:val="18"/>
        </w:rPr>
        <w:t>October 15, 2025</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the Plan, this Grant Notice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2874"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09"/>
        <w:gridCol w:w="109"/>
        <w:gridCol w:w="109"/>
        <w:gridCol w:w="457"/>
        <w:gridCol w:w="457"/>
        <w:gridCol w:w="64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Christy Schwartz </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26415"/>
                <wp:effectExtent l="0" t="0" r="0" b="0"/>
                <wp:wrapNone/>
                <wp:docPr id="218" name="Frame2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A</w:t>
      </w:r>
    </w:p>
    <w:p>
      <w:pPr>
        <w:pStyle w:val="TextBody"/>
        <w:bidi w:val="0"/>
        <w:spacing w:before="0" w:after="0"/>
        <w:jc w:val="center"/>
        <w:rPr/>
      </w:pPr>
      <w:r>
        <w:rPr/>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the Participant.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0520"/>
                <wp:effectExtent l="0" t="0" r="0" b="0"/>
                <wp:wrapNone/>
                <wp:docPr id="219" name="Frame2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lineRule="auto" w:line="276" w:before="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76" w:before="0" w:after="18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76" w:before="0" w:after="18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76" w:before="0" w:after="18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w:t>
      </w:r>
    </w:p>
    <w:p>
      <w:pPr>
        <w:pStyle w:val="TextBody"/>
        <w:bidi w:val="0"/>
        <w:spacing w:before="0" w:after="0"/>
        <w:jc w:val="center"/>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1155"/>
                <wp:effectExtent l="0" t="0" r="0" b="0"/>
                <wp:wrapNone/>
                <wp:docPr id="220" name="Frame2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awarding, vesting or payment of the PSUs or the subsequent sale of Shares. The Company and its Subsidiaries do not commit and are under no obligation to structure the PSUs to reduce or eliminate Participant’s tax liability.</w:t>
      </w:r>
    </w:p>
    <w:p>
      <w:pPr>
        <w:pStyle w:val="TextBody"/>
        <w:bidi w:val="0"/>
        <w:spacing w:lineRule="auto" w:line="276"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76"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76"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76"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forth in this Agreement or the Plan, this Agreement will be binding upon and inure to the benefit of the heirs, legatees, legal representatives, successors and permitted assigns of the parties hereto.</w:t>
      </w:r>
    </w:p>
    <w:p>
      <w:pPr>
        <w:pStyle w:val="TextBody"/>
        <w:bidi w:val="0"/>
        <w:spacing w:lineRule="auto" w:line="276"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hereto) constitute the entire agreement of the parties and supersede in their entirety all prior undertakings and agreements of the Company and Participant with respect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1155"/>
                <wp:effectExtent l="0" t="0" r="0" b="0"/>
                <wp:wrapNone/>
                <wp:docPr id="221" name="Frame2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matter hereof. Participant agrees and acknowledges that Participant has received and read a copy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24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1155"/>
                <wp:effectExtent l="0" t="0" r="0" b="0"/>
                <wp:wrapNone/>
                <wp:docPr id="222" name="Frame2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Name: Christy Schwartz </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1155"/>
                <wp:effectExtent l="0" t="0" r="0" b="0"/>
                <wp:wrapNone/>
                <wp:docPr id="223" name="Frame2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A</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PSU VESTING CONDITIONS (FIRST SIGN-ON AWARD)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9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Vesting Conditions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76"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set forth in Sections 5 and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subject to Participant’s continued employment with the Company and its affiliates through the applicable date, the Time-Based Vesting Condition shall be satisfied as to twenty percent (20%) of the PSUs subject to the Award on the six (6)-month anniversary of the Vesting Commencement Date, and the Time-Based Vesting Condition shall be satisfied as to the remaining eighty percent (80%) of the PSUs subject to the Award (the “</w:t>
      </w:r>
      <w:r>
        <w:rPr>
          <w:rFonts w:ascii="Times New Roman;serif" w:hAnsi="Times New Roman;serif"/>
          <w:b w:val="false"/>
          <w:color w:val="000000"/>
          <w:sz w:val="24"/>
          <w:u w:val="single"/>
        </w:rPr>
        <w:t>Remainder</w:t>
      </w:r>
      <w:r>
        <w:rPr>
          <w:color w:val="000000"/>
        </w:rPr>
        <w:t>”</w:t>
      </w:r>
      <w:r>
        <w:rPr>
          <w:rFonts w:ascii="Times New Roman;serif" w:hAnsi="Times New Roman;serif"/>
          <w:b w:val="false"/>
          <w:color w:val="000000"/>
          <w:sz w:val="24"/>
        </w:rPr>
        <w:t>) in substantially equal installments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starting on the date that is three (3) months after the six (6)-month anniversary of the Vesting Commencement Date and continuing on each date that is three (3) months thereafter (such six (6)-month anniversary and each successive date that is three (3) months thereafter, a “</w:t>
      </w:r>
      <w:r>
        <w:rPr>
          <w:rFonts w:ascii="Times New Roman;serif" w:hAnsi="Times New Roman;serif"/>
          <w:b w:val="false"/>
          <w:color w:val="000000"/>
          <w:sz w:val="24"/>
          <w:u w:val="single"/>
        </w:rPr>
        <w:t>Measurement Date</w:t>
      </w:r>
      <w:r>
        <w:rPr>
          <w:color w:val="000000"/>
        </w:rPr>
        <w:t>”</w:t>
      </w:r>
      <w:r>
        <w:rPr>
          <w:rFonts w:ascii="Times New Roman;serif" w:hAnsi="Times New Roman;serif"/>
          <w:b w:val="false"/>
          <w:color w:val="000000"/>
          <w:sz w:val="24"/>
        </w:rPr>
        <w:t xml:space="preserve">), such that the Time-Based Vesting Condition shall be satisfied with respect to one hundred percent 100% of the Award on the four and one-half (4.5) year anniversary of the Vesting Commencement Date. For purposes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w:t>
      </w:r>
      <w:r>
        <w:rPr>
          <w:rFonts w:ascii="Times New Roman;serif" w:hAnsi="Times New Roman;serif"/>
          <w:b w:val="false"/>
          <w:color w:val="000000"/>
          <w:sz w:val="24"/>
          <w:u w:val="single"/>
        </w:rPr>
        <w:t>Tranche</w:t>
      </w:r>
      <w:r>
        <w:rPr>
          <w:color w:val="000000"/>
        </w:rPr>
        <w:t xml:space="preserve">” </w:t>
      </w:r>
      <w:r>
        <w:rPr>
          <w:rFonts w:ascii="Times New Roman;serif" w:hAnsi="Times New Roman;serif"/>
          <w:b w:val="false"/>
          <w:color w:val="000000"/>
          <w:sz w:val="24"/>
        </w:rPr>
        <w:t>will refer to the initial installment of twenty percent (20%) of the Award and to each installment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Except as otherwise expressly provided in Sections 5 or 6 below, if Participant’s employment terminates for any reason prior to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Vesting Commencement Date, then any Tranche that has not satisfied the Time-Based Vesting Condition pursuant to this Section 2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The Performance-Based Vesting Condition for each Tranche will be measured on the Measurement Date on which the Time-Based Vesting Condition for such Tranche is satisfied and on up to four Measurement Dates immediately following such Measurement Date (or such fewer number of Measurement Dates that remain in the Performance Period, if applicable). If the Company Stock Price equals or exceeds the Baseline Price as of any of such Measurement Dates, then the Performance-Based Vesting Condition of the applicable Tranche will be satisfied. If the Company Stock Price does not equal or exceed the Baseline Price as of any of such Measurement Dates then, as of the last of such Measurement Dates, the Tranche will be automatically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if applicable,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xml:space="preserve">. In the event Participant experiences a Non-CIC Qualifying Termination during the Performance Period, then, notwithstanding anything herein to the contrary, one-tenth (1/10th) of the Award (or, if less than one-tenth (1/10th) of the Award </w:t>
      </w:r>
    </w:p>
    <w:p>
      <w:pPr>
        <w:pStyle w:val="TextBody"/>
        <w:bidi w:val="0"/>
        <w:spacing w:before="0" w:after="0"/>
        <w:jc w:val="center"/>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remains outstanding as of the Termination Date, then the then-outstanding portion of the Award) will be deemed to have satisfied the Time-Based Vesting Condition and will vest upon the Termination Date (regardless of the Company Stock Price as of such date). For the avoidance of doubt, any Tranche for which the Time-Based Vesting Condition is not satisfied pursuant to this Section 5 shall be forfeited and cancelled as of the Termination Date for no consideration in respect thereof.</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as of the Change in Control Date, the Change in Control Price equals or exceeds the Baseline Price, then all unvested PSUs shall remain outstanding and eligible to vest upon the achievement of the applicable Time-Based Vesting Condition. If, as of the Change in Control Date, the Change in Control Price does not equal or exceed the Baseline Price, then all unvested PSUs will be forfeited and cancelled as of the Change in Control Date for no consideration in respect thereof.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CIC Qualifying Termination and PSUs remain outstanding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then (i) as of the later of the Change in Control Date and the Termination Date, the Time-Based Vesting Condition will be deemed to be satisfied with respect to a number of PSUs equal to (A) the product of (1) the total number of PSUs granted pursuant to the Award and (2) the CIC Performance Factor, minus (B) the number of PSUs that have already vested prior to the CIC Qualifying Termination and (ii) any PSUs that do not become vested pursuant to clause (i) will be forfeited and cancelled for no consideration in respect thereof. </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execution and non-revocation of a Release within the applicable time period set forth in the Severance Plan. </w:t>
      </w:r>
    </w:p>
    <w:p>
      <w:pPr>
        <w:pStyle w:val="TextBody"/>
        <w:bidi w:val="0"/>
        <w:spacing w:lineRule="auto" w:line="288"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end of the Performance Period, all unvested PSUs shall be forfeited and cancelled for no consideration in respect thereof. </w:t>
      </w:r>
    </w:p>
    <w:p>
      <w:pPr>
        <w:pStyle w:val="TextBody"/>
        <w:bidi w:val="0"/>
        <w:spacing w:lineRule="auto" w:line="288"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Baseline Price</w:t>
      </w:r>
      <w:r>
        <w:rPr>
          <w:color w:val="000000"/>
        </w:rPr>
        <w:t xml:space="preserve">” </w:t>
      </w:r>
      <w:r>
        <w:rPr>
          <w:rFonts w:ascii="Times New Roman;serif" w:hAnsi="Times New Roman;serif"/>
          <w:b w:val="false"/>
          <w:color w:val="000000"/>
          <w:sz w:val="24"/>
        </w:rPr>
        <w:t xml:space="preserve">means $6.24.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 xml:space="preserve">means (i) if the Change in Control Price is equal to or greater than $25.00 but less than $29.00, a fraction, the numerator of which is equal to five (5) and the denominator of which is equal to seven (7), (ii) if the Change in Control Price is equal to or greater than $29.00 but less than $33.00, a fraction, the numerator of which is </w:t>
      </w:r>
    </w:p>
    <w:p>
      <w:pPr>
        <w:pStyle w:val="TextBody"/>
        <w:bidi w:val="0"/>
        <w:spacing w:before="0" w:after="0"/>
        <w:jc w:val="center"/>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26415"/>
                <wp:effectExtent l="0" t="0" r="0" b="0"/>
                <wp:wrapNone/>
                <wp:docPr id="225" name="Frame2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equal to six (6) and the denominator of which is equal to seven (7) or (iii) if the Change in Control Price is equal to or greater than $33.00, one (1).</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means the average closing price of a Share on the Securities Exchange for any consecutive period of thirty (30) Trading Days that ends on the last Trading Day immediately preceding an applicable Measurement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 xml:space="preserve">shall have the meaning set forth in the Company’s long-term disability plan, as in effect from time to time (or, if no such plan is then in effect, as such term was most recently defined therein).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Non-CIC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means the period beginning on the Vesting Commencement Date and ending on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Vesting Commencement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Release</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means the last day of Participant’s employment with the Company or Subsidiary,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26415"/>
                <wp:effectExtent l="0" t="0" r="0" b="0"/>
                <wp:wrapNone/>
                <wp:docPr id="226" name="Frame2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Attachment B</w:t>
      </w:r>
    </w:p>
    <w:p>
      <w:pPr>
        <w:pStyle w:val="TextBody"/>
        <w:bidi w:val="0"/>
        <w:spacing w:before="0" w:after="0"/>
        <w:jc w:val="center"/>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SECOND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2020 Incentive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xml:space="preserve">), both of which are incorporated into this Grant Notice by reference. </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 xml:space="preserve">Christy Schwartz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1,695,000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Vesting Commencement Date: </w:t>
      </w:r>
      <w:r>
        <w:rPr>
          <w:rFonts w:ascii="Arial;sans-serif" w:hAnsi="Arial;sans-serif"/>
          <w:b w:val="false"/>
          <w:color w:val="000000"/>
          <w:sz w:val="18"/>
        </w:rPr>
        <w:t>October 15, 2025</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this Grant Notice, the Plan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2829"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09"/>
        <w:gridCol w:w="109"/>
        <w:gridCol w:w="109"/>
        <w:gridCol w:w="444"/>
        <w:gridCol w:w="444"/>
        <w:gridCol w:w="627"/>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Christy Schwartz</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1155"/>
                <wp:effectExtent l="0" t="0" r="0" b="0"/>
                <wp:wrapNone/>
                <wp:docPr id="227" name="Frame2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B</w:t>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76"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76"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the Participant. </w:t>
      </w:r>
    </w:p>
    <w:p>
      <w:pPr>
        <w:pStyle w:val="TextBody"/>
        <w:bidi w:val="0"/>
        <w:spacing w:lineRule="auto" w:line="276"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76" w:before="0" w:after="18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before="0" w:after="0"/>
        <w:jc w:val="center"/>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awarding, vesting or payment of the PSUs or the subsequent sale of Shares. The Company and its Subsidiaries do not commit and are under no obligation to structure the PSUs to reduce or eliminate Participant’s tax liability.</w:t>
      </w:r>
    </w:p>
    <w:p>
      <w:pPr>
        <w:pStyle w:val="TextBody"/>
        <w:bidi w:val="0"/>
        <w:spacing w:before="0" w:after="0"/>
        <w:jc w:val="center"/>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1155"/>
                <wp:effectExtent l="0" t="0" r="0" b="0"/>
                <wp:wrapNone/>
                <wp:docPr id="229" name="Frame2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88"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forth in this Agreement or the Plan, this Agreement will be binding upon and inure to the benefit of the heirs, legatees, legal representatives, successors and permitted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hereto) constitute the entire agreement of the parties and supersede in their entirety all prior undertakings and agreements of the Company and Participant with respect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1155"/>
                <wp:effectExtent l="0" t="0" r="0" b="0"/>
                <wp:wrapNone/>
                <wp:docPr id="230" name="Frame2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matter hereof. Participant agrees and acknowledges that Participant has received and read a copy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1155"/>
                <wp:effectExtent l="0" t="0" r="0" b="0"/>
                <wp:wrapNone/>
                <wp:docPr id="231" name="Frame2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Name: Christy Schwartz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2"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B</w:t>
      </w:r>
    </w:p>
    <w:p>
      <w:pPr>
        <w:pStyle w:val="TextBody"/>
        <w:bidi w:val="0"/>
        <w:spacing w:lineRule="auto" w:line="276" w:before="0" w:after="180"/>
        <w:jc w:val="center"/>
        <w:rPr>
          <w:rFonts w:ascii="Times New Roman;serif" w:hAnsi="Times New Roman;serif"/>
          <w:b/>
          <w:color w:val="000000"/>
          <w:sz w:val="24"/>
        </w:rPr>
      </w:pPr>
      <w:r>
        <w:rPr>
          <w:rFonts w:ascii="Times New Roman;serif" w:hAnsi="Times New Roman;serif"/>
          <w:b/>
          <w:color w:val="000000"/>
          <w:sz w:val="24"/>
        </w:rPr>
        <w:t>PSU VESTING CONDITIONS (SECOND SIGN-ON AWARD)</w:t>
      </w:r>
    </w:p>
    <w:p>
      <w:pPr>
        <w:pStyle w:val="TextBody"/>
        <w:bidi w:val="0"/>
        <w:spacing w:lineRule="auto" w:line="276" w:before="0" w:after="18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10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18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 xml:space="preserve">Vesting </w:t>
      </w:r>
      <w:r>
        <w:rPr>
          <w:rFonts w:ascii="Times New Roman;serif" w:hAnsi="Times New Roman;serif"/>
          <w:b w:val="false"/>
          <w:color w:val="000000"/>
          <w:sz w:val="24"/>
        </w:rPr>
        <w:t xml:space="preserve">Conditions.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76" w:before="0" w:after="18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xml:space="preserve">. Except as set forth in Sections 5 or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on the date on which the Company Stock Price meets or exceeds the dollar value specified in any of the rows below in the column entitled “Stock Price Hurdle” (each, a “</w:t>
      </w:r>
      <w:r>
        <w:rPr>
          <w:rFonts w:ascii="Times New Roman;serif" w:hAnsi="Times New Roman;serif"/>
          <w:b w:val="false"/>
          <w:i/>
          <w:color w:val="000000"/>
          <w:sz w:val="24"/>
        </w:rPr>
        <w:t>Stock Price Hurdle</w:t>
      </w:r>
      <w:r>
        <w:rPr>
          <w:color w:val="000000"/>
        </w:rPr>
        <w:t>”</w:t>
      </w:r>
      <w:r>
        <w:rPr>
          <w:rFonts w:ascii="Times New Roman;serif" w:hAnsi="Times New Roman;serif"/>
          <w:b w:val="false"/>
          <w:color w:val="000000"/>
          <w:sz w:val="24"/>
        </w:rPr>
        <w:t>) at any point during the Performance Period, the Performance-Based Vesting Condition will be satisfied with respect to (a) the number of PSUs listed in the table below directly across from such Stock Price Hurdle (each, a “</w:t>
      </w:r>
      <w:r>
        <w:rPr>
          <w:rFonts w:ascii="Times New Roman;serif" w:hAnsi="Times New Roman;serif"/>
          <w:b w:val="false"/>
          <w:i/>
          <w:color w:val="000000"/>
          <w:sz w:val="24"/>
        </w:rPr>
        <w:t>Tranche</w:t>
      </w:r>
      <w:r>
        <w:rPr>
          <w:color w:val="000000"/>
        </w:rPr>
        <w:t>”</w:t>
      </w:r>
      <w:r>
        <w:rPr>
          <w:rFonts w:ascii="Times New Roman;serif" w:hAnsi="Times New Roman;serif"/>
          <w:b w:val="false"/>
          <w:color w:val="000000"/>
          <w:sz w:val="24"/>
        </w:rPr>
        <w:t>) and (b) each preceding Tranche solely to the extent that the Stock Price Hurdles applicable to each such Tranche have not already been achieved. The Committee will certify attainment of the Stock Price Hurdle within ten (10) days thereafter. For the avoidance of doubt, once a Stock Price Hurdle has been achieved during the Performance Period, (a) it will forever be treated as having been achieved, regardless of any subsequent changes in the trading price of a Share and (b) such Stock Price Hurdle cannot be achieved again.</w:t>
      </w:r>
    </w:p>
    <w:tbl>
      <w:tblPr>
        <w:tblW w:w="4127" w:type="dxa"/>
        <w:jc w:val="left"/>
        <w:tblInd w:w="0" w:type="dxa"/>
        <w:tblLayout w:type="fixed"/>
        <w:tblCellMar>
          <w:top w:w="28" w:type="dxa"/>
          <w:left w:w="28" w:type="dxa"/>
          <w:bottom w:w="28" w:type="dxa"/>
          <w:right w:w="28" w:type="dxa"/>
        </w:tblCellMar>
      </w:tblPr>
      <w:tblGrid>
        <w:gridCol w:w="359"/>
        <w:gridCol w:w="315"/>
        <w:gridCol w:w="317"/>
        <w:gridCol w:w="734"/>
        <w:gridCol w:w="734"/>
        <w:gridCol w:w="737"/>
        <w:gridCol w:w="271"/>
        <w:gridCol w:w="271"/>
        <w:gridCol w:w="38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Tranche</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Stock Price Hurdle</w:t>
            </w:r>
            <w:r>
              <w:rPr>
                <w:rFonts w:ascii="Times New Roman;serif" w:hAnsi="Times New Roman;serif"/>
                <w:b/>
                <w:color w:val="000000"/>
                <w:sz w:val="16"/>
              </w:rPr>
              <w:t>(1)</w:t>
            </w:r>
          </w:p>
        </w:tc>
        <w:tc>
          <w:tcPr>
            <w:tcW w:w="931"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PSUs </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242,142</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242,143</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242,143</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242,143</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242,143</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$29.00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242,143</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22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$33.00</w:t>
            </w:r>
          </w:p>
        </w:tc>
        <w:tc>
          <w:tcPr>
            <w:tcW w:w="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242,143</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(1)    </w:t>
      </w:r>
      <w:r>
        <w:rPr>
          <w:rFonts w:ascii="Times New Roman;serif" w:hAnsi="Times New Roman;serif"/>
          <w:b w:val="false"/>
          <w:color w:val="000000"/>
          <w:sz w:val="20"/>
          <w:shd w:fill="FFFFFF" w:val="clear"/>
        </w:rPr>
        <w:t>The Stock Price Hurdles will be adjusted as appropriate to reflect any stock splits, stock dividends, combinations, reorganizations, reclassifications or similar event, in accordance with the terms of the Plan and the Agreement. The Committee, in order to prevent diminution or enlargement of the benefits or potential benefits intended to be made available under the Agreement, will make the determination of any such adjustments required in connection with any such event. For the avoidance of doubt, the adjustment provisions contained in the Plan (as modified in the Agreement) are incorporated herein by reference herein.</w:t>
      </w:r>
    </w:p>
    <w:p>
      <w:pPr>
        <w:pStyle w:val="TextBody"/>
        <w:bidi w:val="0"/>
        <w:spacing w:before="0" w:after="0"/>
        <w:jc w:val="left"/>
        <w:rPr/>
      </w:pPr>
      <w:r>
        <w:rPr/>
      </w:r>
    </w:p>
    <w:p>
      <w:pPr>
        <w:pStyle w:val="TextBody"/>
        <w:bidi w:val="0"/>
        <w:spacing w:lineRule="auto" w:line="276"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provided in Sections 5 or 6 of this </w:t>
      </w:r>
      <w:r>
        <w:rPr>
          <w:rFonts w:ascii="Times New Roman;serif" w:hAnsi="Times New Roman;serif"/>
          <w:b w:val="false"/>
          <w:color w:val="000000"/>
          <w:sz w:val="24"/>
          <w:u w:val="single"/>
        </w:rPr>
        <w:t xml:space="preserve">Exhibit </w:t>
      </w:r>
      <w:r>
        <w:rPr>
          <w:rFonts w:ascii="Times New Roman;serif" w:hAnsi="Times New Roman;serif"/>
          <w:b w:val="false"/>
          <w:color w:val="000000"/>
          <w:sz w:val="24"/>
        </w:rPr>
        <w:t xml:space="preserve">B, subject to Participant’s continued employment with the Company and its affiliates through the applicable date, the Time-Based Vesting Condition shall be satisfied as to (i) Tranche 1 on the six (6)-month anniversary of the Vesting Commencement Date; (ii) Tranche 2 in four substantially equal installments starting on the date that is three (3) months after the six (6)-month anniversary of the Vesting Commencement Date and continuing on each date that is three (3) months thereafter; (iii) Tranche 3 in four substantially equal installments starting on the date that is three (3) months after the eighteen (18)-month anniversary of the Vesting Commencement Date and continuing on each date that is three (3) months thereafter; (iv) Tranches 4 and 5 in four substantially equal installments starting on the date that is three (3) </w:t>
      </w:r>
    </w:p>
    <w:p>
      <w:pPr>
        <w:pStyle w:val="TextBody"/>
        <w:bidi w:val="0"/>
        <w:spacing w:before="0" w:after="0"/>
        <w:jc w:val="center"/>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0520"/>
                <wp:effectExtent l="0" t="0" r="0" b="0"/>
                <wp:wrapNone/>
                <wp:docPr id="233" name="Frame2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months after the two and one-half (2.5) year anniversary of the Vesting Commencement Date and continuing on each date that is three (3) months thereafter; (v) Tranche 6 in four substantially equal installments starting on the date that is three (3) months after the three and one-half (3.5) year anniversary of the Vesting Commencement Date and continuing on each date that is three (3) months thereafter; and (vi) Tranche 7 in four substantially equal installments starting on the date that is three (3) months after the fourth (4</w:t>
      </w:r>
      <w:r>
        <w:rPr>
          <w:rFonts w:ascii="Times New Roman;serif" w:hAnsi="Times New Roman;serif"/>
          <w:b w:val="false"/>
          <w:color w:val="000000"/>
          <w:sz w:val="16"/>
        </w:rPr>
        <w:t>th</w:t>
      </w:r>
      <w:r>
        <w:rPr>
          <w:rFonts w:ascii="Times New Roman;serif" w:hAnsi="Times New Roman;serif"/>
          <w:b w:val="false"/>
          <w:color w:val="000000"/>
          <w:sz w:val="24"/>
        </w:rPr>
        <w:t xml:space="preserve">) anniversary of the Vesting Commencement Date and continuing on each date that is three (3) months thereafter, such that the Time-Based Vesting Condition shall be satisfied with respect to one hundred percent (100%) of the Award on the fifth (5th) anniversary of the Vesting Commencement Date. If Participant’s employment with the Company and its affiliates terminates for any reason prior to the fifth (5th) anniversary of the Vesting Commencement Date, then, except as set forth in Section 5 and Section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any PSUs that have not satisfied the Time-Based Vesting Condition pursuant to this Section 3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that Participant experiences a termination of employment due to Participant’s death or Disability then, notwithstanding anything herein to the contrary, any Tranche that, as of the Termination Date, has met the Performance-Based Vesting Condition (other than by reason of a Change in Control) but has not met the Time-Based Vesting Condition will be deemed to have met the Time-Based Vesting Condition and will automatically vest as of the Termination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that Participant experiences a Non-CIC Qualifying Termination, then, notwithstanding anything herein to the contrary, (i) for purposes of determining whether any Time-Based Vesting Condition has been satisfied, Participant will be deemed to have remained employed through the Tail Period and (ii) the Tranche with the lowest associated Stock Price Hurdle of the Tranches for which the Performance-Based Vesting Condition has not been met as of the Termination Date (if any) will remain outstanding and eligible to satisfy the Performance-Based Vesting Condition during the Tail Period. After the end of the Tail Period, the Committee will determine whether any additional PSUs have become vested by virtue of satisfying both the Performance-Based Vesting Condition and the Time-Based Vesting Condition and any such PSUs will vest as of the last day of the Tail Period. </w:t>
      </w:r>
    </w:p>
    <w:p>
      <w:pPr>
        <w:pStyle w:val="TextBody"/>
        <w:bidi w:val="0"/>
        <w:spacing w:lineRule="auto" w:line="276"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Participant’s termination of employment, any PSUs that do not become vested pursuant to Section 5(a) or 5(b), or pursuant to Section 6 (if applicable),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Upon the Change in Control Date, any Tranche for which the Performance-Based Vesting Condition has not been achieved prior to the Change in Control Date and that corresponds to a Stock Price Hurdle that is less than or equal to the Change in Control Price will be deemed to have satisfied the Performance-Based Vesting Condition and will remain outstanding and eligible to vest, subject to achievement of the Time-Based Vesting Condition. Any Tranche for which the Performance-Based Vesting Condition has not been </w:t>
      </w:r>
    </w:p>
    <w:p>
      <w:pPr>
        <w:pStyle w:val="TextBody"/>
        <w:bidi w:val="0"/>
        <w:spacing w:before="0" w:after="0"/>
        <w:jc w:val="center"/>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1155"/>
                <wp:effectExtent l="0" t="0" r="0" b="0"/>
                <wp:wrapNone/>
                <wp:docPr id="234" name="Frame2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achieved as of the Change in Control Date as described in this Section 6 will be forfeited and cancelled for no consideration in respect thereof.</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CIC Qualifying Termination, then (i) as of the later of the Change in Control Date and the Termination Date, the Time-Based Vesting Condition will be deemed to be satisfied with respect to a number of PSUs equal to (A) the product of (1) the total number of PSUs granted pursuant to the Award and (2) the CIC Performance Factor, minus (B) the sum of (x) the number of PSUs that have already vested prior to the Qualifying Termination and (y) the number of PSUs that were forfeited and cancelled for no consideration in respect thereof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provided that if clause (B) is greater than clause (A), then no additional PSUs will vest and (ii) any PSUs that do not become vested pursuant to clause (i) will be forfeited and cancelled for no consideration in respect thereof. </w:t>
      </w:r>
    </w:p>
    <w:p>
      <w:pPr>
        <w:pStyle w:val="TextBody"/>
        <w:bidi w:val="0"/>
        <w:spacing w:lineRule="auto" w:line="276"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execution and non-revocation of a Release within the applicable time period set forth in the Severance Plan. </w:t>
      </w:r>
    </w:p>
    <w:p>
      <w:pPr>
        <w:pStyle w:val="TextBody"/>
        <w:bidi w:val="0"/>
        <w:spacing w:lineRule="auto" w:line="276"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expiration of the Performance Period, each Tranche for which either (or both) of the Performance-Based Vesting Condition or the Time-Based Vesting Condition has not been satisfied will be forfeited and cancelled for no consideration in respect thereof. </w:t>
      </w:r>
    </w:p>
    <w:p>
      <w:pPr>
        <w:pStyle w:val="TextBody"/>
        <w:bidi w:val="0"/>
        <w:spacing w:lineRule="auto" w:line="276"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Dividend Equivalents</w:t>
      </w:r>
      <w:r>
        <w:rPr>
          <w:rFonts w:ascii="Times New Roman;serif" w:hAnsi="Times New Roman;serif"/>
          <w:b w:val="false"/>
          <w:color w:val="000000"/>
          <w:sz w:val="24"/>
        </w:rPr>
        <w:t>. Each Tranche that has met the Performance-Based Vesting Condition but has not met the Time-Based Vesting Condition will accrue Dividend Equivalents from the date on which the Performance-Based Vesting Condition is met until the earlier of (a) the date on which the Time-Based Vesting Condition is met and (b) the date on which the Tranche is forfeited. Dividend Equivalents will be subject to the same Time-Based Vesting Conditions and the same settlement terms as the Tranche with respect to which they are credited.</w:t>
      </w:r>
    </w:p>
    <w:p>
      <w:pPr>
        <w:pStyle w:val="TextBody"/>
        <w:bidi w:val="0"/>
        <w:spacing w:lineRule="auto" w:line="276"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76"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means (i) if the Change in Control Price is equal to or greater than $25.00 but less than $29.00, a fraction, the numerator of which is equal to five (5) and the denominator of which is equal to seven (7), (ii) if the Change in Control Price is equal to or greater than $29.00 but less than $33.00, a fraction, the numerator of which is equal to six (6) and the denominator of which is equal to seven (7) or (iii) if the Change in Control Price is equal to or greater than $33.00, one (1).</w:t>
      </w:r>
    </w:p>
    <w:p>
      <w:pPr>
        <w:pStyle w:val="TextBody"/>
        <w:bidi w:val="0"/>
        <w:spacing w:lineRule="auto" w:line="276"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before="0" w:after="0"/>
        <w:jc w:val="center"/>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1155"/>
                <wp:effectExtent l="0" t="0" r="0" b="0"/>
                <wp:wrapNone/>
                <wp:docPr id="235" name="Frame2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 xml:space="preserve">means the average closing price of a Share on the Securities Exchange for any consecutive period of thirty (30) Trading Days that both begins and ends during the Performance Period. </w:t>
      </w:r>
    </w:p>
    <w:p>
      <w:pPr>
        <w:pStyle w:val="TextBody"/>
        <w:bidi w:val="0"/>
        <w:spacing w:lineRule="auto" w:line="276"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shall have the meaning set forth in the Company’s long-term disability plan, as in effect from time to time (or, if no such plan is then in effect, as such term was most recently defined therein).</w:t>
      </w:r>
    </w:p>
    <w:p>
      <w:pPr>
        <w:pStyle w:val="TextBody"/>
        <w:bidi w:val="0"/>
        <w:spacing w:lineRule="auto" w:line="276"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Non-CIC</w:t>
      </w:r>
      <w:r>
        <w:rPr>
          <w:color w:val="000000"/>
        </w:rPr>
        <w:t xml:space="preserve"> </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 xml:space="preserve">means the period commencing on the first anniversary of the Vesting Commencement Date and ending on the fifth anniversary of the Vesting Commencement Date. </w:t>
      </w:r>
    </w:p>
    <w:p>
      <w:pPr>
        <w:pStyle w:val="TextBody"/>
        <w:bidi w:val="0"/>
        <w:spacing w:lineRule="auto" w:line="276"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76"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Release</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76"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 as amended from time to time.</w:t>
      </w:r>
    </w:p>
    <w:p>
      <w:pPr>
        <w:pStyle w:val="TextBody"/>
        <w:bidi w:val="0"/>
        <w:spacing w:lineRule="auto" w:line="276"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Tail Period</w:t>
      </w:r>
      <w:r>
        <w:rPr>
          <w:color w:val="000000"/>
        </w:rPr>
        <w:t xml:space="preserve">” </w:t>
      </w:r>
      <w:r>
        <w:rPr>
          <w:rFonts w:ascii="Times New Roman;serif" w:hAnsi="Times New Roman;serif"/>
          <w:b w:val="false"/>
          <w:color w:val="000000"/>
          <w:sz w:val="24"/>
        </w:rPr>
        <w:t>means, if Participant experiences a Qualifying Termination, the consecutive period of sixty (60) Trading Days beginning on the first Trading Day immediately following the Termination Date (or such shorter period of consecutive Trading Days that commences on the first Trading Day immediately following the Termination Date and ends on the last day of the Performance Period).</w:t>
      </w:r>
    </w:p>
    <w:p>
      <w:pPr>
        <w:pStyle w:val="TextBody"/>
        <w:bidi w:val="0"/>
        <w:spacing w:lineRule="auto" w:line="276"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shall mean the last day of Participant’s employment with the Company or Subsidiary,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76"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lineRule="auto" w:line="276"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1155"/>
                <wp:effectExtent l="0" t="0" r="0" b="0"/>
                <wp:wrapNone/>
                <wp:docPr id="236" name="Frame2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p>
                    <w:p>
                      <w:pPr>
                        <w:pStyle w:val="TextBody"/>
                        <w:bidi w:val="0"/>
                        <w:spacing w:before="0" w:after="0"/>
                        <w:jc w:val="left"/>
                        <w:rPr/>
                      </w:pPr>
                      <w:r>
                        <w:rPr/>
                      </w:r>
                    </w:p>
                  </w:txbxContent>
                </v:textbox>
                <w10:wrap type="none"/>
              </v:rect>
            </w:pict>
          </mc:Fallback>
        </mc:AlternateContent>
      </w:r>
    </w:p>
    <w:p>
      <w:pPr>
        <w:pStyle w:val="TextBody"/>
        <w:bidi w:val="0"/>
        <w:spacing w:lineRule="auto" w:line="696"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Attachment C</w:t>
      </w:r>
    </w:p>
    <w:p>
      <w:pPr>
        <w:pStyle w:val="TextBody"/>
        <w:bidi w:val="0"/>
        <w:spacing w:lineRule="auto" w:line="696"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NOTICE OF PARTICIPATION</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0520"/>
                <wp:effectExtent l="0" t="0" r="0" b="0"/>
                <wp:wrapNone/>
                <wp:docPr id="237" name="Frame2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4"/>
        </w:rPr>
      </w:pPr>
      <w:r>
        <w:rPr>
          <w:rFonts w:ascii="Times New Roman;serif" w:hAnsi="Times New Roman;serif"/>
          <w:b/>
          <w:color w:val="000000"/>
          <w:sz w:val="24"/>
        </w:rPr>
        <w:t>Exhibit 10.41</w:t>
      </w:r>
    </w:p>
    <w:p>
      <w:pPr>
        <w:pStyle w:val="TextBody"/>
        <w:bidi w:val="0"/>
        <w:spacing w:lineRule="auto" w:line="288" w:before="0" w:after="480"/>
        <w:jc w:val="center"/>
        <w:rPr/>
      </w:pPr>
      <w:r>
        <w:rPr>
          <w:rFonts w:ascii="Times New Roman;serif" w:hAnsi="Times New Roman;serif"/>
          <w:b/>
          <w:color w:val="000000"/>
          <w:sz w:val="24"/>
        </w:rPr>
        <w:t>Opendoor Labs Inc.</w:t>
        <w:br/>
      </w:r>
      <w:r>
        <w:rPr>
          <w:rFonts w:ascii="Times New Roman;serif" w:hAnsi="Times New Roman;serif"/>
          <w:b w:val="false"/>
          <w:color w:val="000000"/>
          <w:sz w:val="24"/>
        </w:rPr>
        <w:t>1295 West Washington Street, Suite 115</w:t>
        <w:br/>
        <w:t>Tempe, AZ 85288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December 22,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Giang Nguyen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br/>
        <w:t>VIA EMAIL</w: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Dear Giang:</w:t>
      </w:r>
    </w:p>
    <w:p>
      <w:pPr>
        <w:pStyle w:val="TextBody"/>
        <w:bidi w:val="0"/>
        <w:spacing w:lineRule="auto" w:line="276" w:before="0" w:after="240"/>
        <w:ind w:left="0" w:right="0" w:firstLine="720"/>
        <w:jc w:val="both"/>
        <w:rPr/>
      </w:pPr>
      <w:r>
        <w:rPr>
          <w:rFonts w:ascii="Times New Roman;serif" w:hAnsi="Times New Roman;serif"/>
          <w:b w:val="false"/>
          <w:color w:val="000000"/>
          <w:sz w:val="24"/>
        </w:rPr>
        <w:t>Opendoor Labs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is pleased to offer you employment on the terms described in 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Your employment will commence as soon as reasonably practicable following the date of this Agreement, but in no event later than October 15, 2025, unless you are unable to obtain a waiver of notice obligations to your current employer, in which case no later than October 27, 2025 (such actual date of your commencement of employment shall be referred to herein as the “</w:t>
      </w:r>
      <w:r>
        <w:rPr>
          <w:rFonts w:ascii="Times New Roman;serif" w:hAnsi="Times New Roman;serif"/>
          <w:b w:val="false"/>
          <w:color w:val="000000"/>
          <w:sz w:val="24"/>
          <w:u w:val="single"/>
        </w:rPr>
        <w:t>Start Date</w:t>
      </w:r>
      <w:r>
        <w:rPr>
          <w:color w:val="000000"/>
        </w:rPr>
        <w:t>”</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 You will initially serve as Chief Operating Officer of the Company. You will report to the Company’s Chief Executive Officer (currently Kaz Nejatian). In this role, you will be responsible for performing such duties as are customarily associated with such position, and such other responsibilities consistent with your title, as may be assigned to you by the Company’s CEO or the Company’s Board. During your employment with the Company, you will devote your reasonable best efforts and substantially all of your business time and attention to the business of Opendoor Technologies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the Company and its subsidiaries (together,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except for approved vacation periods and reasonable periods of illness or other incapacities permitted by the Company Group’s general employment policies. </w:t>
      </w:r>
    </w:p>
    <w:p>
      <w:pPr>
        <w:pStyle w:val="TextBody"/>
        <w:bidi w:val="0"/>
        <w:spacing w:lineRule="auto" w:line="276"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Work Location and Residence</w:t>
      </w:r>
      <w:r>
        <w:rPr>
          <w:rFonts w:ascii="Times New Roman;serif" w:hAnsi="Times New Roman;serif"/>
          <w:b w:val="false"/>
          <w:color w:val="000000"/>
          <w:sz w:val="24"/>
        </w:rPr>
        <w:t>. For the first twelve (12) months of your employment, your primary work location will be remotely from your home, which is currently in the Bahamas. No later than the one (1)-year anniversary of your Start Date, you will primarily work from one or more of the Company’s offices, as selected by you in your reasonable discretion. The Company agrees to reimburse you for moving/relocation expenses, in an amount not to exceed $50,000 USD, incurred in connection with your obligations set forth in this paragraph 2, subject to your providing appropriate documentation to the Company substantiating such expenses. The Company and you agree that you will each make a good faith effort to obtain all of the documents necessary for you to work in the United States. You agree that your obligations to relocate pursuant to this paragraph 2 shall not constitute “Good Reason” (as defined in the Severance Plan and herein) or any other agreement between you and Parent or the Company that incorporates (directly or indirectly) the definition of “Good Reason.” Parent agrees that your inability to obtain the necessary work authorization to permit you to work lawfully in the United States shall not constitute a reason to terminate this Agreement or your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25780"/>
                <wp:effectExtent l="0" t="0" r="0" b="0"/>
                <wp:wrapNone/>
                <wp:docPr id="238" name="Frame23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Salary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Your annual base salary will be six hundred fifty thousand dollars ($650,000 USD). As an exempt salaried employee, you will be required to work the Company’s normal business hours, and such additional time as appropriate for your work assignments and position, and you will not be entitled to overtime compensation. The Company may change your base salary from time to time with reasonable advance notice, subject to the terms and conditions set forth herein, and provided that any decrease in your base salary is done at the same time and in the same amount (on a percentage basis) as all other senior executives.</w:t>
      </w:r>
    </w:p>
    <w:p>
      <w:pPr>
        <w:pStyle w:val="TextBody"/>
        <w:bidi w:val="0"/>
        <w:spacing w:lineRule="auto" w:line="276"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Signing/Retention Payment</w:t>
      </w:r>
      <w:r>
        <w:rPr>
          <w:rFonts w:ascii="Times New Roman;serif" w:hAnsi="Times New Roman;serif"/>
          <w:b w:val="false"/>
          <w:color w:val="000000"/>
          <w:sz w:val="24"/>
        </w:rPr>
        <w:t>. Subject to paragraph 13(a), you will be paid a lump sum cash payment in the amount of one million dollars ($1,000,000 USD), less applicable withholdings and required deductions (the “</w:t>
      </w:r>
      <w:r>
        <w:rPr>
          <w:rFonts w:ascii="Times New Roman;serif" w:hAnsi="Times New Roman;serif"/>
          <w:b w:val="false"/>
          <w:color w:val="000000"/>
          <w:sz w:val="24"/>
          <w:u w:val="single"/>
        </w:rPr>
        <w:t>Signing/Retention Payment</w:t>
      </w:r>
      <w:r>
        <w:rPr>
          <w:color w:val="000000"/>
        </w:rPr>
        <w:t>”</w:t>
      </w:r>
      <w:r>
        <w:rPr>
          <w:rFonts w:ascii="Times New Roman;serif" w:hAnsi="Times New Roman;serif"/>
          <w:b w:val="false"/>
          <w:color w:val="000000"/>
          <w:sz w:val="24"/>
        </w:rPr>
        <w:t xml:space="preserve">), on the first regular payroll date after the Start Date. In the event that, prior to the one year anniversary of your Start Date, you voluntarily resign without Good Reason (as defined in the Severance Plan and herein), you shall repay, within 30 days of your last day of employment with the Company, a prorated amount of the Signing/Retention Payment (less applicable withholdings and required deductions), based on the number of completed months of employment. </w:t>
      </w:r>
    </w:p>
    <w:p>
      <w:pPr>
        <w:pStyle w:val="TextBody"/>
        <w:bidi w:val="0"/>
        <w:spacing w:lineRule="auto" w:line="276"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will be eligible to participate in all of the employee benefit plans or programs the Company generally makes available to its senior executives, including without limitation, medical, dental, vision, retirement, and life insurance plans, pursuant to the terms and conditions of such plans. You will be eligible for Company-paid holidays and paid time off in accordance with the Company’s policies. The Company may, from time to time, change these benefits in its discretion, provided that you shall be treated no less favorably than similarly situated employees. Additional information regarding these benefits is available for your review upon request.</w:t>
      </w:r>
    </w:p>
    <w:p>
      <w:pPr>
        <w:pStyle w:val="TextBody"/>
        <w:bidi w:val="0"/>
        <w:spacing w:lineRule="auto" w:line="276"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Equity</w:t>
      </w:r>
      <w:r>
        <w:rPr>
          <w:rFonts w:ascii="Times New Roman;serif" w:hAnsi="Times New Roman;serif"/>
          <w:b w:val="false"/>
          <w:color w:val="000000"/>
          <w:sz w:val="24"/>
        </w:rPr>
        <w:t>. The sign-on equity awards described in this paragraph 6 are intended to be your exclusive long-term incentive compensation from the Company Group during the performance and vesting periods covered by such awards.</w:t>
      </w:r>
    </w:p>
    <w:p>
      <w:pPr>
        <w:pStyle w:val="TextBody"/>
        <w:bidi w:val="0"/>
        <w:spacing w:lineRule="auto" w:line="276"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First Sign-On PSU Award</w:t>
      </w:r>
      <w:r>
        <w:rPr>
          <w:rFonts w:ascii="Times New Roman;serif" w:hAnsi="Times New Roman;serif"/>
          <w:b w:val="false"/>
          <w:color w:val="000000"/>
          <w:sz w:val="24"/>
        </w:rPr>
        <w:t>.  The Board of Directors or Compensation Committee of Parent, as soon as practicable following the Start Date, will grant you an award of performance-based RSUs with a stock price performance gate covering 3,600,000 shares of the Parent’s common stock (the “</w:t>
      </w:r>
      <w:r>
        <w:rPr>
          <w:rFonts w:ascii="Times New Roman;serif" w:hAnsi="Times New Roman;serif"/>
          <w:b w:val="false"/>
          <w:color w:val="000000"/>
          <w:sz w:val="24"/>
          <w:u w:val="single"/>
        </w:rPr>
        <w:t>First Sign-On PSU Award</w:t>
      </w:r>
      <w:r>
        <w:rPr>
          <w:color w:val="000000"/>
        </w:rPr>
        <w:t>”</w:t>
      </w:r>
      <w:r>
        <w:rPr>
          <w:rFonts w:ascii="Times New Roman;serif" w:hAnsi="Times New Roman;serif"/>
          <w:b w:val="false"/>
          <w:color w:val="000000"/>
          <w:sz w:val="24"/>
        </w:rPr>
        <w:t xml:space="preserve">). The First Sign-On PSU Award will be granted pursuant to the form of grant notice and award agreement attached to this Agreement as </w:t>
      </w:r>
      <w:r>
        <w:rPr>
          <w:rFonts w:ascii="Times New Roman;serif" w:hAnsi="Times New Roman;serif"/>
          <w:b w:val="false"/>
          <w:color w:val="000000"/>
          <w:sz w:val="24"/>
          <w:u w:val="single"/>
        </w:rPr>
        <w:t>Attachment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First Sign-On PSU Award Agreement</w:t>
      </w:r>
      <w:r>
        <w:rPr>
          <w:color w:val="000000"/>
        </w:rPr>
        <w:t>”</w:t>
      </w:r>
      <w:r>
        <w:rPr>
          <w:rFonts w:ascii="Times New Roman;serif" w:hAnsi="Times New Roman;serif"/>
          <w:b w:val="false"/>
          <w:color w:val="000000"/>
          <w:sz w:val="24"/>
        </w:rPr>
        <w:t xml:space="preserve">) and will be subject to all terms and conditions set forth in the First Sign-On PSU Award Agreement. </w:t>
      </w:r>
    </w:p>
    <w:p>
      <w:pPr>
        <w:pStyle w:val="TextBody"/>
        <w:bidi w:val="0"/>
        <w:spacing w:lineRule="auto" w:line="276"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Sign-On RSU Award.</w:t>
      </w:r>
      <w:r>
        <w:rPr>
          <w:color w:val="000000"/>
        </w:rPr>
        <w:t xml:space="preserve"> </w:t>
      </w:r>
      <w:r>
        <w:rPr>
          <w:rFonts w:ascii="Times New Roman;serif" w:hAnsi="Times New Roman;serif"/>
          <w:b w:val="false"/>
          <w:color w:val="000000"/>
          <w:sz w:val="24"/>
        </w:rPr>
        <w:t>The Board of Directors or Compensation Committee of Parent, as soon as practicable following the Start Date, will grant you an award of RSUs covering 500,000 shares of Parent’s common stock (the “</w:t>
      </w:r>
      <w:r>
        <w:rPr>
          <w:rFonts w:ascii="Times New Roman;serif" w:hAnsi="Times New Roman;serif"/>
          <w:b w:val="false"/>
          <w:color w:val="000000"/>
          <w:sz w:val="24"/>
          <w:u w:val="single"/>
        </w:rPr>
        <w:t>Sign-On RSU Award</w:t>
      </w:r>
      <w:r>
        <w:rPr>
          <w:color w:val="000000"/>
        </w:rPr>
        <w:t>”</w:t>
      </w:r>
      <w:r>
        <w:rPr>
          <w:rFonts w:ascii="Times New Roman;serif" w:hAnsi="Times New Roman;serif"/>
          <w:b w:val="false"/>
          <w:color w:val="000000"/>
          <w:sz w:val="24"/>
        </w:rPr>
        <w:t>), which will be eligible to vest in installments over a period of five (5) years from the 15th day of the calendar month in which the Start Date falls (the “</w:t>
      </w:r>
      <w:r>
        <w:rPr>
          <w:rFonts w:ascii="Times New Roman;serif" w:hAnsi="Times New Roman;serif"/>
          <w:b w:val="false"/>
          <w:color w:val="000000"/>
          <w:sz w:val="24"/>
          <w:u w:val="single"/>
        </w:rPr>
        <w:t>Vesting Commencement Date</w:t>
      </w:r>
      <w:r>
        <w:rPr>
          <w:color w:val="000000"/>
        </w:rPr>
        <w:t>”</w:t>
      </w:r>
      <w:r>
        <w:rPr>
          <w:rFonts w:ascii="Times New Roman;serif" w:hAnsi="Times New Roman;serif"/>
          <w:b w:val="false"/>
          <w:color w:val="000000"/>
          <w:sz w:val="24"/>
        </w:rPr>
        <w:t>), with twenty percent (20%) of the award vesting on the six month anniversary of the Vesting Commencement Date and the remainder of the award vesting in quarterly installments thereafter. The Sign-On RSU Award will be granted pursuant to the Company’s standard form of grant notice and award agreement (the “</w:t>
      </w:r>
      <w:r>
        <w:rPr>
          <w:rFonts w:ascii="Times New Roman;serif" w:hAnsi="Times New Roman;serif"/>
          <w:b w:val="false"/>
          <w:color w:val="000000"/>
          <w:sz w:val="24"/>
          <w:u w:val="single"/>
        </w:rPr>
        <w:t>Sign-On RSU Award Agreement</w:t>
      </w:r>
      <w:r>
        <w:rPr>
          <w:color w:val="000000"/>
        </w:rPr>
        <w:t>”</w:t>
      </w:r>
      <w:r>
        <w:rPr>
          <w:rFonts w:ascii="Times New Roman;serif" w:hAnsi="Times New Roman;serif"/>
          <w:b w:val="false"/>
          <w:color w:val="000000"/>
          <w:sz w:val="24"/>
        </w:rPr>
        <w:t xml:space="preserve">) and will be subject to all terms and conditions set forth in the Sign-On RSU Award Agreement, except as otherwise set forth herein. The Sign-On RSU Award Agreement will also include the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03555"/>
                <wp:effectExtent l="0" t="0" r="0" b="0"/>
                <wp:wrapNone/>
                <wp:docPr id="239" name="Frame23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following terms: In the event of the Participant’s Qualifying Termination (as defined in the Severance Plan), any unvested portion of the Sign-On RSU Award shall become fully vested as of the date of such Qualifying Termination.</w:t>
      </w:r>
    </w:p>
    <w:p>
      <w:pPr>
        <w:pStyle w:val="TextBody"/>
        <w:bidi w:val="0"/>
        <w:spacing w:lineRule="auto" w:line="276"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Second Sign-On PSU Award</w:t>
      </w:r>
      <w:r>
        <w:rPr>
          <w:rFonts w:ascii="Times New Roman;serif" w:hAnsi="Times New Roman;serif"/>
          <w:b w:val="false"/>
          <w:color w:val="000000"/>
          <w:sz w:val="24"/>
        </w:rPr>
        <w:t>. The Board of Directors or Compensation Committee of Parent, as soon as practicable following the Start Date, will grant you an award of performance-based RSUs covering 4,100,000 shares of the Company’s common stock (the “</w:t>
      </w:r>
      <w:r>
        <w:rPr>
          <w:rFonts w:ascii="Times New Roman;serif" w:hAnsi="Times New Roman;serif"/>
          <w:b w:val="false"/>
          <w:color w:val="000000"/>
          <w:sz w:val="24"/>
          <w:u w:val="single"/>
        </w:rPr>
        <w:t>Second Sign-On PSU Award</w:t>
      </w:r>
      <w:r>
        <w:rPr>
          <w:color w:val="000000"/>
        </w:rPr>
        <w:t>”</w:t>
      </w:r>
      <w:r>
        <w:rPr>
          <w:rFonts w:ascii="Times New Roman;serif" w:hAnsi="Times New Roman;serif"/>
          <w:b w:val="false"/>
          <w:color w:val="000000"/>
          <w:sz w:val="24"/>
        </w:rPr>
        <w:t xml:space="preserve">). The Second Sign-On PSU Award will be granted pursuant to the form of grant notice and award agreement attached to this Agreement as </w:t>
      </w:r>
      <w:r>
        <w:rPr>
          <w:rFonts w:ascii="Times New Roman;serif" w:hAnsi="Times New Roman;serif"/>
          <w:b w:val="false"/>
          <w:color w:val="000000"/>
          <w:sz w:val="24"/>
          <w:u w:val="single"/>
        </w:rPr>
        <w:t>Attachment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Second Sign-On PSU Award Agreement</w:t>
      </w:r>
      <w:r>
        <w:rPr>
          <w:color w:val="000000"/>
        </w:rPr>
        <w:t>”</w:t>
      </w:r>
      <w:r>
        <w:rPr>
          <w:rFonts w:ascii="Times New Roman;serif" w:hAnsi="Times New Roman;serif"/>
          <w:b w:val="false"/>
          <w:color w:val="000000"/>
          <w:sz w:val="24"/>
        </w:rPr>
        <w:t xml:space="preserve">) and will be subject to all terms and conditions set forth in the Second Sign-On PSU Award Agreement. </w:t>
      </w:r>
    </w:p>
    <w:p>
      <w:pPr>
        <w:pStyle w:val="TextBody"/>
        <w:bidi w:val="0"/>
        <w:spacing w:before="0" w:after="0"/>
        <w:jc w:val="left"/>
        <w:rPr/>
      </w:pPr>
      <w:r>
        <w:rPr/>
      </w:r>
    </w:p>
    <w:p>
      <w:pPr>
        <w:pStyle w:val="TextBody"/>
        <w:bidi w:val="0"/>
        <w:spacing w:lineRule="auto" w:line="276"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Expenses</w:t>
      </w:r>
      <w:r>
        <w:rPr>
          <w:rFonts w:ascii="Times New Roman;serif" w:hAnsi="Times New Roman;serif"/>
          <w:b w:val="false"/>
          <w:color w:val="000000"/>
          <w:sz w:val="24"/>
        </w:rPr>
        <w:t xml:space="preserve">. You will be entitled to reimbursement for all ordinary and reasonable out-of-pocket business expenses which are reasonably incurred by you in furtherance of the Company Group’s business, with appropriate documentation and in accordance with the Company Group’s standard policies. 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 </w:t>
      </w:r>
    </w:p>
    <w:p>
      <w:pPr>
        <w:pStyle w:val="TextBody"/>
        <w:bidi w:val="0"/>
        <w:spacing w:lineRule="auto" w:line="276"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Compliance with Confidentiality Information Agreement and Company Policies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condition of employment, you agree to sign and comply with the Confidential Information and Inventions Assignment Agreement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val="false"/>
          <w:color w:val="000000"/>
          <w:sz w:val="24"/>
          <w:u w:val="single"/>
        </w:rPr>
        <w:t>Attachment C</w:t>
      </w:r>
      <w:r>
        <w:rPr>
          <w:rFonts w:ascii="Times New Roman;serif" w:hAnsi="Times New Roman;serif"/>
          <w:b w:val="false"/>
          <w:color w:val="000000"/>
          <w:sz w:val="24"/>
        </w:rPr>
        <w:t xml:space="preserve">. In addition, you are required to abide by the Company Group’s policies and procedures (including but not limited to the Company Group’s employee handbook), as adopted or modified from time to time within the Company Group’s discretion, and acknowledge in writing that you have read and will comply with such policies and procedures (and provide additional such acknowledgements as such policies and procedures may be modified from time to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the terms of this Agreement differ from or are in conflict with the Company Group’s general employment policies or practices, this Agreement shall control.</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or the Confidentiality Agreement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Employee has reason to believe is unlawful. In addition, you acknowledge receipt of the following notice of immunity rights under the U.S. Defend Trade Secrets Act, which states: “(1) An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03555"/>
                <wp:effectExtent l="0" t="0" r="0" b="0"/>
                <wp:wrapNone/>
                <wp:docPr id="240" name="Frame23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lineRule="auto" w:line="276"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Protection of Third-Party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signing this Agreement, you are representing that you have full authority to accept this position and perform the duties of the position commencing on the Start Date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on and after the Start Date.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pStyle w:val="TextBody"/>
        <w:bidi w:val="0"/>
        <w:spacing w:lineRule="auto" w:line="276"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Employment Relationship</w:t>
      </w:r>
      <w:r>
        <w:rPr>
          <w:rFonts w:ascii="Times New Roman;serif" w:hAnsi="Times New Roman;serif"/>
          <w:b w:val="false"/>
          <w:color w:val="000000"/>
          <w:sz w:val="24"/>
        </w:rPr>
        <w:t>. Your employment with the Company is for no specific period of time. Your employment with the Company is “at will,” meaning that either you or the Company may terminate your employment at any time and for any reason, with or without Cause (as defined in the Severance Plan) and with or without advance notice. Any contrary representations which may have been made to you are superseded by this offer. This Agreement, including the Attachments hereto, is the full and complete agreement between you and the Company Group regarding your employment. The “at will” nature of your employment may only be changed in an express written agreement signed by you and the Board. You will not be entitled to any severance or termination benefits from the Company Group, other than as expressly set forth in this Agreement or its Attachment. Upon your termination of employment for any reason, the Company will pay you all compensation and accrued, unused paid-time-off, if applicable, earned but not paid through the date of termination and vested benefits as required under applicable law or the terms of any applicable benefit plan.</w:t>
      </w:r>
    </w:p>
    <w:p>
      <w:pPr>
        <w:pStyle w:val="TextBody"/>
        <w:bidi w:val="0"/>
        <w:spacing w:lineRule="auto" w:line="276"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Severance</w:t>
      </w:r>
      <w:r>
        <w:rPr>
          <w:rFonts w:ascii="Times New Roman;serif" w:hAnsi="Times New Roman;serif"/>
          <w:b w:val="false"/>
          <w:color w:val="000000"/>
          <w:sz w:val="24"/>
        </w:rPr>
        <w:t>. You may be entitled to severance upon certain qualifying terminations of employment, as outlined in the Opendoor Technologies Inc. Executive Severance Plan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By signing this Agreement and the Participation Agreement with respect to your participation in the Severance Plan, attached hereto as Attachment D (the “</w:t>
      </w:r>
      <w:r>
        <w:rPr>
          <w:rFonts w:ascii="Times New Roman;serif" w:hAnsi="Times New Roman;serif"/>
          <w:b w:val="false"/>
          <w:color w:val="000000"/>
          <w:sz w:val="24"/>
          <w:u w:val="single"/>
        </w:rPr>
        <w:t>Participation Agreement</w:t>
      </w:r>
      <w:r>
        <w:rPr>
          <w:color w:val="000000"/>
        </w:rPr>
        <w:t>”</w:t>
      </w:r>
      <w:r>
        <w:rPr>
          <w:rFonts w:ascii="Times New Roman;serif" w:hAnsi="Times New Roman;serif"/>
          <w:b w:val="false"/>
          <w:color w:val="000000"/>
          <w:sz w:val="24"/>
        </w:rPr>
        <w:t>), you acknowledge your designation as a Tier 2 Executive (as defined in the Severance Plan) in the Severance Plan and your understanding that you agree to all the terms and conditions of the Severance Plan. Notwithstanding anything in the Severance Plan to the contrary, this Agreement shall amend the definition of “Good Reason” in Section 1.17 of the Severance Plan to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03555"/>
                <wp:effectExtent l="0" t="0" r="0" b="0"/>
                <wp:wrapNone/>
                <wp:docPr id="241" name="Frame24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with respect to a Participant, shall have the meaning set forth in such Participant’s offer letter agreement, employment agreement or similar agreement with the Employer, or, in the absence of such agreement, or if such agreement does not have a definition of “Good Reason,” means the occurrence of any of the following events without the Participant’s written consent: (a) a reduction by the Company or its successor of more than 20% in the Participant’s rate of annual base salary, unless such reduction is in connection with and proportional to reductions to the base salary reductions of other executives of the Company; (b) a material reduction in the Participant’s job responsibilities, duties or authority (provided that a mere change in title to an employment position that is substantially similar to the prior employment position shall not constitute a material reduction in job responsibilities, duty or authority); (c) a change in the geographic location of the Participant’s principal place of employment to any location more than 50 miles from the Participant’s current principal place of employment; (d) the Company requiring Participant to report directly to any individual other than Kaz Nejatian during the first thirty-six (36) months of Participant’s employment, provided that Mr. Nejatian remains employed by the Company during such entire thirty-six (36) month period; and (e) the termination by the Company of Mr. Nejatian’s employment as Chief Executive Officer other than for Cause (as defined in Mr. Nejatian’s offer letter agreement with the Company) during the first thirty-six (36) months of the Participant’s employment. Notwithstanding the foregoing, Good Reason shall not exist unless, within 30 days after the initial occurrence of a circumstance that the Participant believes in good faith to constitute Good Reason, the Participant delivers written notice to the Company setting forth with specificity such circumstance the Participant believes in good faith constitutes Good Reason, the Company shall have failed to cure any claimed event of Good Reason (if capable of cure) within 30 days after receipt of such notice, and the Participant must actually terminate the Participant’s employment no later than 30 days following the expiration of the Company’s cure period.</w:t>
      </w:r>
    </w:p>
    <w:p>
      <w:pPr>
        <w:pStyle w:val="TextBody"/>
        <w:bidi w:val="0"/>
        <w:spacing w:lineRule="auto" w:line="276"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Outside Activities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During your employment by the Company, except on behalf of the Company Group,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Group (or is planning or preparing to compete with the Company Group), anywhere in the world, in any line of business engaged in (or planned to be engaged in) by the Company Group;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you may purchase or otherwise acquire up to (but not more than) 1% of any class of securities of any enterprise (but without participating in the activities of such enterprise) and you may passively invest in hedge funds, mutual funds, private equity funds and similar funds. Nothing in this Agreement shall prohibit or restrict you from managing your personal investments in companies (and serving on their boards) that are not competitive with the Company Group or engaging in civic, charitable, religious or political activities, sitting on a non-profit, professional, or industry boards, or conducting personal speaking or educational engagements, in each case provided such endeavors do not materially interfere with your obligations under this Agreement. In addition, in the event that you wish to undertake any substantial business activity outside the scope of your employment by the Company, which activity you believe entails no conflict with the Company Group’s business, you agree to inform the Board of your intentions prior to the initiation of such outside business activity, and you furthermore agree to abide by the Board’s decision, which shall be rendered in good faith, as to whether or not there is such a conflict. If, in the Board’s sole determination, such a conflict exists or is likely to develop, you agree not to undertake such outside business activity.</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03555"/>
                <wp:effectExtent l="0" t="0" r="0" b="0"/>
                <wp:wrapNone/>
                <wp:docPr id="242" name="Frame24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76" w:before="0" w:after="240"/>
        <w:ind w:left="0" w:right="0" w:firstLine="720"/>
        <w:jc w:val="both"/>
        <w:rPr/>
      </w:pPr>
      <w:r>
        <w:rPr>
          <w:rFonts w:ascii="Times New Roman;serif" w:hAnsi="Times New Roman;serif"/>
          <w:b w:val="false"/>
          <w:color w:val="010000"/>
          <w:sz w:val="24"/>
        </w:rPr>
        <w:t>(a)</w:t>
      </w:r>
      <w:r>
        <w:rPr>
          <w:rFonts w:ascii="Times New Roman;serif" w:hAnsi="Times New Roman;serif"/>
          <w:b/>
          <w:color w:val="000000"/>
          <w:sz w:val="24"/>
          <w:u w:val="single"/>
        </w:rPr>
        <w:t>Rescission or Delay of Offer</w:t>
      </w:r>
      <w:r>
        <w:rPr>
          <w:rFonts w:ascii="Times New Roman;serif" w:hAnsi="Times New Roman;serif"/>
          <w:b w:val="false"/>
          <w:color w:val="000000"/>
          <w:sz w:val="24"/>
        </w:rPr>
        <w:t>. In the event that the Company rescinds this offer prior to the Start Date or delays the Start Date beyond November 27, 2025, in each case, if your prior employer initiates, or threatens in writing to initiate, legal action against the Company to enjoin or otherwise prevent your commencement of employment with the Company, then the Company shall pay you a lump sum cash payment equal to one million dollars ($1,000,000 USD) within fifteen (15) days of November 27, 2025 (the “Payment Date”). If you begin employment pursuant to this Agreement within twelve (12) months of the Payment Date, the payment described in this paragraph 13(b) shall be in lieu of the Signing/Retention Payment and you agree that you shall not be entitled to receive the Signing/Retention Payment.</w:t>
      </w:r>
    </w:p>
    <w:p>
      <w:pPr>
        <w:pStyle w:val="TextBody"/>
        <w:bidi w:val="0"/>
        <w:spacing w:lineRule="auto" w:line="276" w:before="0" w:after="240"/>
        <w:ind w:left="0" w:right="0" w:firstLine="720"/>
        <w:jc w:val="both"/>
        <w:rPr/>
      </w:pPr>
      <w:r>
        <w:rPr>
          <w:rFonts w:ascii="Times New Roman;serif" w:hAnsi="Times New Roman;serif"/>
          <w:b w:val="false"/>
          <w:color w:val="010000"/>
          <w:sz w:val="24"/>
        </w:rPr>
        <w:t>(b)</w:t>
      </w:r>
      <w:r>
        <w:rPr>
          <w:rFonts w:ascii="Times New Roman;serif" w:hAnsi="Times New Roman;serif"/>
          <w:b/>
          <w:color w:val="000000"/>
          <w:sz w:val="24"/>
          <w:u w:val="single"/>
        </w:rPr>
        <w:t>Governing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validity, interpretation, construction and performance of this Agreement, and all acts and transactions pursuant hereto and the rights and obligations of the parties hereto shall be governed, construed and interpreted in accordance with the laws of state of California, without giving effect to principles of conflicts of law.</w:t>
      </w:r>
    </w:p>
    <w:p>
      <w:pPr>
        <w:pStyle w:val="TextBody"/>
        <w:bidi w:val="0"/>
        <w:spacing w:lineRule="auto" w:line="276" w:before="0" w:after="240"/>
        <w:ind w:left="0" w:right="0" w:firstLine="720"/>
        <w:jc w:val="both"/>
        <w:rPr/>
      </w:pPr>
      <w:r>
        <w:rPr>
          <w:rFonts w:ascii="Times New Roman;serif" w:hAnsi="Times New Roman;serif"/>
          <w:b w:val="false"/>
          <w:color w:val="010000"/>
          <w:sz w:val="24"/>
        </w:rPr>
        <w:t>(c)</w:t>
      </w:r>
      <w:r>
        <w:rPr>
          <w:rFonts w:ascii="Times New Roman;serif" w:hAnsi="Times New Roman;serif"/>
          <w:b/>
          <w:color w:val="000000"/>
          <w:sz w:val="24"/>
          <w:u w:val="single"/>
        </w:rPr>
        <w:t>Entire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acknowledge and agree that as of your execution of this Agreement, your sole entitlement to any compensation or benefits from the Company Group will be as set forth in this Agreement. This Agreement, including the Attachments hereto, set forth the entire agreement and understanding of the parties relating to the subject matter herein and supersedes all prior or contemporaneous discussions, understandings and agreements, whether oral or written, between you and the Company Group relating to the subject matter hereof.</w:t>
      </w:r>
    </w:p>
    <w:p>
      <w:pPr>
        <w:pStyle w:val="TextBody"/>
        <w:bidi w:val="0"/>
        <w:spacing w:lineRule="auto" w:line="276" w:before="0" w:after="240"/>
        <w:ind w:left="0" w:right="0" w:firstLine="720"/>
        <w:jc w:val="both"/>
        <w:rPr/>
      </w:pPr>
      <w:r>
        <w:rPr>
          <w:rFonts w:ascii="Times New Roman;serif" w:hAnsi="Times New Roman;serif"/>
          <w:b w:val="false"/>
          <w:color w:val="010000"/>
          <w:sz w:val="24"/>
        </w:rPr>
        <w:t>(d)</w:t>
      </w:r>
      <w:r>
        <w:rPr>
          <w:rFonts w:ascii="Times New Roman;serif" w:hAnsi="Times New Roman;serif"/>
          <w:b/>
          <w:color w:val="000000"/>
          <w:sz w:val="24"/>
          <w:u w:val="single"/>
        </w:rPr>
        <w:t>Counterparts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pStyle w:val="TextBody"/>
        <w:bidi w:val="0"/>
        <w:spacing w:lineRule="auto" w:line="276" w:before="0" w:after="240"/>
        <w:ind w:left="0" w:right="0" w:firstLine="720"/>
        <w:jc w:val="both"/>
        <w:rPr/>
      </w:pPr>
      <w:r>
        <w:rPr>
          <w:rFonts w:ascii="Times New Roman;serif" w:hAnsi="Times New Roman;serif"/>
          <w:b w:val="false"/>
          <w:color w:val="010000"/>
          <w:sz w:val="24"/>
        </w:rPr>
        <w:t>(e)</w:t>
      </w:r>
      <w:r>
        <w:rPr>
          <w:rFonts w:ascii="Times New Roman;serif" w:hAnsi="Times New Roman;serif"/>
          <w:b/>
          <w:color w:val="000000"/>
          <w:sz w:val="24"/>
          <w:u w:val="single"/>
        </w:rPr>
        <w:t>Successors and Assigns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will bind the heirs, personal representatives, successors and assigns of both you and the Company, and inure to the benefit of both you and the Company, their heirs, successors and assigns, except that you may not assign any of your duties hereunder and you may not assign any of your rights hereunder, without the written consent of the Company.</w:t>
      </w:r>
    </w:p>
    <w:p>
      <w:pPr>
        <w:pStyle w:val="TextBody"/>
        <w:bidi w:val="0"/>
        <w:spacing w:lineRule="auto" w:line="276" w:before="0" w:after="240"/>
        <w:ind w:left="0" w:right="0" w:firstLine="720"/>
        <w:jc w:val="both"/>
        <w:rPr/>
      </w:pPr>
      <w:r>
        <w:rPr>
          <w:rFonts w:ascii="Times New Roman;serif" w:hAnsi="Times New Roman;serif"/>
          <w:b w:val="false"/>
          <w:color w:val="010000"/>
          <w:sz w:val="24"/>
        </w:rPr>
        <w:t>(f)</w:t>
      </w:r>
      <w:r>
        <w:rPr>
          <w:rFonts w:ascii="Times New Roman;serif" w:hAnsi="Times New Roman;serif"/>
          <w:b/>
          <w:color w:val="000000"/>
          <w:sz w:val="24"/>
          <w:u w:val="single"/>
        </w:rPr>
        <w:t>Severability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w:t>
      </w:r>
    </w:p>
    <w:p>
      <w:pPr>
        <w:pStyle w:val="TextBody"/>
        <w:bidi w:val="0"/>
        <w:spacing w:lineRule="auto" w:line="276" w:before="0" w:after="240"/>
        <w:ind w:left="0" w:right="0" w:firstLine="720"/>
        <w:jc w:val="both"/>
        <w:rPr/>
      </w:pPr>
      <w:r>
        <w:rPr>
          <w:rFonts w:ascii="Times New Roman;serif" w:hAnsi="Times New Roman;serif"/>
          <w:b w:val="false"/>
          <w:color w:val="010000"/>
          <w:sz w:val="24"/>
        </w:rPr>
        <w:t>(g)</w:t>
      </w:r>
      <w:r>
        <w:rPr>
          <w:rFonts w:ascii="Times New Roman;serif" w:hAnsi="Times New Roman;serif"/>
          <w:b/>
          <w:color w:val="000000"/>
          <w:sz w:val="24"/>
          <w:u w:val="single"/>
        </w:rPr>
        <w:t>Amendment or Waiver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 provision of this Agreement may be amended unless such amendment is expressly set forth in a writing that is signed by you and an authorized representative of the Company. Any waiver of a breach of this Agreement, or rights hereunder, shall not be effective unless expressly made in a writing that is signed by the party against whom it is sought to be enforced, and shall not be deemed to be a waiver of any successive breach or rights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03555"/>
                <wp:effectExtent l="0" t="0" r="0" b="0"/>
                <wp:wrapNone/>
                <wp:docPr id="243" name="Frame24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10000"/>
          <w:sz w:val="24"/>
        </w:rPr>
        <w:t>(h)</w:t>
      </w:r>
      <w:r>
        <w:rPr>
          <w:rFonts w:ascii="Times New Roman;serif" w:hAnsi="Times New Roman;serif"/>
          <w:b/>
          <w:color w:val="000000"/>
          <w:sz w:val="24"/>
          <w:u w:val="single"/>
        </w:rPr>
        <w:t>Withholding</w:t>
      </w:r>
      <w:r>
        <w:rPr>
          <w:rFonts w:ascii="Times New Roman;serif" w:hAnsi="Times New Roman;serif"/>
          <w:b w:val="false"/>
          <w:color w:val="000000"/>
          <w:sz w:val="24"/>
        </w:rPr>
        <w:t>. All amounts payable to you will be subject to appropriate payroll deductions and withholdings.</w:t>
      </w:r>
    </w:p>
    <w:p>
      <w:pPr>
        <w:pStyle w:val="TextBody"/>
        <w:bidi w:val="0"/>
        <w:spacing w:lineRule="auto" w:line="276" w:before="0" w:after="240"/>
        <w:ind w:left="0" w:right="0" w:firstLine="720"/>
        <w:jc w:val="both"/>
        <w:rPr/>
      </w:pPr>
      <w:r>
        <w:rPr>
          <w:rFonts w:ascii="Times New Roman;serif" w:hAnsi="Times New Roman;serif"/>
          <w:b w:val="false"/>
          <w:color w:val="010000"/>
          <w:sz w:val="24"/>
        </w:rPr>
        <w:t>(i)</w:t>
      </w:r>
      <w:r>
        <w:rPr>
          <w:rFonts w:ascii="Times New Roman;serif" w:hAnsi="Times New Roman;serif"/>
          <w:b/>
          <w:color w:val="000000"/>
          <w:sz w:val="24"/>
          <w:u w:val="single"/>
        </w:rPr>
        <w:t>Electronic Delivery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may, in its sole discretion, decide to deliver any documents or notices related to this Agreement, securities of the Company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w:t>
      </w:r>
      <w:r>
        <w:rPr>
          <w:rFonts w:ascii="Garamond;serif" w:hAnsi="Garamond;serif"/>
          <w:b w:val="false"/>
          <w:color w:val="000000"/>
          <w:sz w:val="24"/>
        </w:rPr>
        <w:t xml:space="preserve">; </w:t>
      </w:r>
      <w:r>
        <w:rPr>
          <w:rFonts w:ascii="Times New Roman;serif" w:hAnsi="Times New Roman;serif"/>
          <w:b w:val="false"/>
          <w:color w:val="000000"/>
          <w:sz w:val="24"/>
        </w:rPr>
        <w:t>(ii) receive such documents and notices by such electronic delivery</w:t>
      </w:r>
      <w:r>
        <w:rPr>
          <w:rFonts w:ascii="Garamond;serif" w:hAnsi="Garamond;serif"/>
          <w:b w:val="false"/>
          <w:color w:val="000000"/>
          <w:sz w:val="24"/>
        </w:rPr>
        <w:t xml:space="preserve">; </w:t>
      </w:r>
      <w:r>
        <w:rPr>
          <w:rFonts w:ascii="Times New Roman;serif" w:hAnsi="Times New Roman;serif"/>
          <w:b w:val="false"/>
          <w:color w:val="000000"/>
          <w:sz w:val="24"/>
        </w:rPr>
        <w:t>and (iii) sign documents electronically and agree to participate through an on-line or electronic system established and maintained by the Company Group or a third party designated by the Company.</w:t>
      </w:r>
    </w:p>
    <w:p>
      <w:pPr>
        <w:pStyle w:val="TextBody"/>
        <w:bidi w:val="0"/>
        <w:spacing w:lineRule="auto" w:line="276" w:before="0" w:after="240"/>
        <w:ind w:left="0" w:right="0" w:firstLine="720"/>
        <w:jc w:val="both"/>
        <w:rPr/>
      </w:pPr>
      <w:r>
        <w:rPr>
          <w:rFonts w:ascii="Times New Roman;serif" w:hAnsi="Times New Roman;serif"/>
          <w:b/>
          <w:color w:val="010000"/>
          <w:sz w:val="24"/>
        </w:rPr>
        <w:t>(j)</w:t>
      </w:r>
      <w:r>
        <w:rPr>
          <w:rFonts w:ascii="Times New Roman;serif" w:hAnsi="Times New Roman;serif"/>
          <w:b/>
          <w:color w:val="000000"/>
          <w:sz w:val="24"/>
          <w:u w:val="single"/>
        </w:rPr>
        <w:t>Arbitration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 agree that any and all disputes relating to or regarding your employment, including disputes regarding compensation and any and all other conflicts, shall be resolved pursuant to the Federal Arbitration Act, 9 U.S.C. § 1-16 (“</w:t>
      </w:r>
      <w:r>
        <w:rPr>
          <w:rFonts w:ascii="Times New Roman;serif" w:hAnsi="Times New Roman;serif"/>
          <w:b w:val="false"/>
          <w:color w:val="000000"/>
          <w:sz w:val="24"/>
          <w:u w:val="single"/>
        </w:rPr>
        <w:t>FAA</w:t>
      </w:r>
      <w:r>
        <w:rPr>
          <w:color w:val="000000"/>
        </w:rPr>
        <w:t>”</w:t>
      </w:r>
      <w:r>
        <w:rPr>
          <w:rFonts w:ascii="Times New Roman;serif" w:hAnsi="Times New Roman;serif"/>
          <w:b w:val="false"/>
          <w:color w:val="000000"/>
          <w:sz w:val="24"/>
        </w:rPr>
        <w:t>), or if inapplicable, the California Arbitration Act, to the fullest extent permitted by law, by final and binding arbitration. You further agree that such disputes shall be resolved on an individual basis only, and not on a class, collective or representative basis on behalf of other employees (“</w:t>
      </w:r>
      <w:r>
        <w:rPr>
          <w:rFonts w:ascii="Times New Roman;serif" w:hAnsi="Times New Roman;serif"/>
          <w:b w:val="false"/>
          <w:color w:val="000000"/>
          <w:sz w:val="24"/>
          <w:u w:val="single"/>
        </w:rPr>
        <w:t>Class Waiver</w:t>
      </w:r>
      <w:r>
        <w:rPr>
          <w:color w:val="000000"/>
        </w:rPr>
        <w:t>”</w:t>
      </w:r>
      <w:r>
        <w:rPr>
          <w:rFonts w:ascii="Times New Roman;serif" w:hAnsi="Times New Roman;serif"/>
          <w:b w:val="false"/>
          <w:color w:val="000000"/>
          <w:sz w:val="24"/>
        </w:rPr>
        <w:t>), to the extent permitted by applicable law. Any claim that all or part of the Class Waiver is invalid, unenforceable, unconscionable, void or voidable may be determined only by a court. In no case may class, collective or representative claims proceed in arbitration. Notwithstanding the foregoing, this paragraph shall not apply to an action or claim brought in court that cannot be subject to mandatory arbitration as a matter of law, including without limitation, claims alleging sexual harassment or a nonconsensual sexual action or sexual contact, to the extent any such claims are not permitted by applicable law to be submitted to mandatory arbitration and such applicable law is not preempted by the FAA or otherwise invalid (the “</w:t>
      </w:r>
      <w:r>
        <w:rPr>
          <w:rFonts w:ascii="Times New Roman;serif" w:hAnsi="Times New Roman;serif"/>
          <w:b w:val="false"/>
          <w:color w:val="000000"/>
          <w:sz w:val="24"/>
          <w:u w:val="single"/>
        </w:rPr>
        <w:t>Excluded Claims</w:t>
      </w:r>
      <w:r>
        <w:rPr>
          <w:color w:val="000000"/>
        </w:rPr>
        <w:t>”</w:t>
      </w:r>
      <w:r>
        <w:rPr>
          <w:rFonts w:ascii="Times New Roman;serif" w:hAnsi="Times New Roman;serif"/>
          <w:b w:val="false"/>
          <w:color w:val="000000"/>
          <w:sz w:val="24"/>
        </w:rPr>
        <w:t>). In the event you intend to bring multiple claims, including one of the Excluded Claims listed above, the Excluded Claims may be filed with a court, while any other claims will remain subject to mandatory arbitration. You and the Company agree to bring any dispute in arbitration before a single neutral arbitrator with JAMS, Inc. or its successor (“</w:t>
      </w:r>
      <w:r>
        <w:rPr>
          <w:rFonts w:ascii="Times New Roman;serif" w:hAnsi="Times New Roman;serif"/>
          <w:b w:val="false"/>
          <w:color w:val="000000"/>
          <w:sz w:val="24"/>
          <w:u w:val="single"/>
        </w:rPr>
        <w:t>JAMS</w:t>
      </w:r>
      <w:r>
        <w:rPr>
          <w:color w:val="000000"/>
        </w:rPr>
        <w:t>”</w:t>
      </w:r>
      <w:r>
        <w:rPr>
          <w:rFonts w:ascii="Times New Roman;serif" w:hAnsi="Times New Roman;serif"/>
          <w:b w:val="false"/>
          <w:color w:val="000000"/>
          <w:sz w:val="24"/>
        </w:rPr>
        <w:t xml:space="preserve">), in San Francisco, California or in the county of your residence if it is not in the San Francisco Bay Area at the time of the commencement of an arbitration proceeding, pursuant to the JAMS Employment Rules &amp; Procedures (which can currently be reviewed at http://www.jamsadr.com/rules-employment-arbitration/ and will be provided to you upon request). You on the one hand, and the Company on the other, waive any rights to a jury trial or a bench trial in connection with the resolution of any dispute under this Agreement or your employment (although both parties may seek interim emergency relief from a court to prevent irreparable harm pending the conclusion of any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You and the Company shall equally share all JAMS’ arbitration fees, or such fees shall be paid in such other manner to the extent required by, and in accordance with, applicable law to effectuate your and the Company’s agreement to arbitrate; provided, however, if you reside in California, the Company shall pay all JAMS’ arbitration fees in excess of the amount of court fees that would be required of you if the dispute were filed in Superior Court. To the extent JAMS does not collect or you otherwise do not pay to JAMS an equal share of all JAMS’ arbitration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03555"/>
                <wp:effectExtent l="0" t="0" r="0" b="0"/>
                <wp:wrapNone/>
                <wp:docPr id="244" name="Frame24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Each party is responsible for its own attorneys’ fees, except as expressly set forth in your Confidentiality Agreement.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This paragraph shall not apply to an action or claim brought in court pursuant to the California Private Attorneys General Act of 2004, as amended. Arbitration is not a mandatory condition of your employment. </w:t>
      </w:r>
      <w:r>
        <w:rPr>
          <w:rFonts w:ascii="Times New Roman;serif" w:hAnsi="Times New Roman;serif"/>
          <w:b/>
          <w:color w:val="000000"/>
          <w:sz w:val="24"/>
        </w:rPr>
        <w:t>If you wish to opt out of this arbitration agreement, you must notify the Company in writing by sending an email to [***] stating your intent to opt out within 30 days of signing this Agreement.</w:t>
      </w:r>
    </w:p>
    <w:p>
      <w:pPr>
        <w:pStyle w:val="TextBody"/>
        <w:bidi w:val="0"/>
        <w:spacing w:lineRule="auto" w:line="276" w:before="0" w:after="240"/>
        <w:ind w:left="0" w:right="0" w:firstLine="720"/>
        <w:jc w:val="both"/>
        <w:rPr/>
      </w:pPr>
      <w:r>
        <w:rPr>
          <w:rFonts w:ascii="Times New Roman;serif" w:hAnsi="Times New Roman;serif"/>
          <w:b w:val="false"/>
          <w:color w:val="010000"/>
          <w:sz w:val="24"/>
        </w:rPr>
        <w:t>(k)</w:t>
      </w:r>
      <w:r>
        <w:rPr>
          <w:rFonts w:ascii="Times New Roman;serif" w:hAnsi="Times New Roman;serif"/>
          <w:b/>
          <w:color w:val="000000"/>
          <w:sz w:val="24"/>
          <w:u w:val="single"/>
        </w:rPr>
        <w:t>Company Representations</w:t>
      </w:r>
      <w:r>
        <w:rPr>
          <w:rFonts w:ascii="Times New Roman;serif" w:hAnsi="Times New Roman;serif"/>
          <w:b w:val="false"/>
          <w:color w:val="000000"/>
          <w:sz w:val="24"/>
        </w:rPr>
        <w:t xml:space="preserve">. The Company represents and warrants that (i) it is fully authorized by action of the Board of Directors of Parent to enter into this Agreement and perform its obligations under this Agreement, (ii) the execution, delivery and performance of this Agreement does not violate any applicable law, regulation, order, judgement or decree or any agreement, arrangement, plan or corporate governance document to which it is a party or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 </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03555"/>
                <wp:effectExtent l="0" t="0" r="0" b="0"/>
                <wp:wrapNone/>
                <wp:docPr id="245" name="Frame24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240" w:after="283"/>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48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indicate your acceptance of the Company’s offer of employment, please sign and date this Agreement, the enclosed Participation Agreement and the enclosed Confidentiality Agreement in the space provided for your signature and return them to me within three business days of the date of this letter.</w:t>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48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OPENDOOR LABS INC.</w:t>
      </w:r>
    </w:p>
    <w:p>
      <w:pPr>
        <w:pStyle w:val="TextBody"/>
        <w:bidi w:val="0"/>
        <w:spacing w:lineRule="auto" w:line="288" w:before="0" w:after="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Kaz Nejatian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Kaz Nejatian</w:t>
      </w:r>
    </w:p>
    <w:p>
      <w:pPr>
        <w:pStyle w:val="TextBody"/>
        <w:bidi w:val="0"/>
        <w:spacing w:lineRule="auto" w:line="288" w:before="0" w:after="360"/>
        <w:ind w:left="0" w:right="0" w:hanging="7"/>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360"/>
        <w:ind w:left="0" w:right="0" w:hanging="7"/>
        <w:jc w:val="left"/>
        <w:rPr/>
      </w:pPr>
      <w:r>
        <w:rPr/>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ACCEPTED AND AGREED:</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Giang Nguyen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Giang Nguyen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A: First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B: Second Sign-On PSU Award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C: Confidentiality Agreement</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Attachment D: Participation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A</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26415"/>
                <wp:effectExtent l="0" t="0" r="0" b="0"/>
                <wp:wrapNone/>
                <wp:docPr id="246" name="Frame24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90.6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Offer Letter</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FIRST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2020 Incentive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both of which are incorporated into this Grant Notice by reference. Capitalized terms not specifically defined in this Grant Notice or the Agreement have the meanings given to them in the Plan.</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Giang Nguyen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December 10,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3,600,000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Vesting Commencement Date: </w:t>
      </w:r>
      <w:r>
        <w:rPr>
          <w:rFonts w:ascii="Arial;sans-serif" w:hAnsi="Arial;sans-serif"/>
          <w:b w:val="false"/>
          <w:color w:val="000000"/>
          <w:sz w:val="18"/>
        </w:rPr>
        <w:t>October 15, 2025</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the Plan, this Grant Notice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4496" w:type="dxa"/>
        <w:jc w:val="left"/>
        <w:tblInd w:w="0" w:type="dxa"/>
        <w:tblLayout w:type="fixed"/>
        <w:tblCellMar>
          <w:top w:w="28" w:type="dxa"/>
          <w:left w:w="28" w:type="dxa"/>
          <w:bottom w:w="28" w:type="dxa"/>
          <w:right w:w="28" w:type="dxa"/>
        </w:tblCellMar>
      </w:tblPr>
      <w:tblGrid>
        <w:gridCol w:w="239"/>
        <w:gridCol w:w="210"/>
        <w:gridCol w:w="211"/>
        <w:gridCol w:w="649"/>
        <w:gridCol w:w="649"/>
        <w:gridCol w:w="652"/>
        <w:gridCol w:w="109"/>
        <w:gridCol w:w="109"/>
        <w:gridCol w:w="109"/>
        <w:gridCol w:w="456"/>
        <w:gridCol w:w="456"/>
        <w:gridCol w:w="647"/>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Kaz Nejatian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Giang Nguyen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19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 Nejatian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Giang Nguyen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19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1155"/>
                <wp:effectExtent l="0" t="0" r="0" b="0"/>
                <wp:wrapNone/>
                <wp:docPr id="247" name="Frame2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A</w:t>
      </w:r>
    </w:p>
    <w:p>
      <w:pPr>
        <w:pStyle w:val="TextBody"/>
        <w:bidi w:val="0"/>
        <w:spacing w:before="0" w:after="0"/>
        <w:jc w:val="center"/>
        <w:rPr/>
      </w:pPr>
      <w:r>
        <w:rPr/>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lineRule="auto" w:line="288"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the Participant.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88"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92100"/>
                <wp:effectExtent l="0" t="0" r="0" b="0"/>
                <wp:wrapNone/>
                <wp:docPr id="248" name="Frame2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88"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lineRule="auto" w:line="276"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before="0" w:after="0"/>
        <w:jc w:val="center"/>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51155"/>
                <wp:effectExtent l="0" t="0" r="0" b="0"/>
                <wp:wrapNone/>
                <wp:docPr id="249" name="Frame2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awarding, vesting or payment of the PSUs or the subsequent sale of Shares. The Company and its Subsidiaries do not commit and are under no obligation to structure the PSUs to reduce or eliminate Participant’s tax liability.</w:t>
      </w:r>
    </w:p>
    <w:p>
      <w:pPr>
        <w:pStyle w:val="TextBody"/>
        <w:bidi w:val="0"/>
        <w:spacing w:lineRule="auto" w:line="276" w:before="0" w:after="18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76" w:before="0" w:after="18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76" w:before="0" w:after="18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76" w:before="0" w:after="18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76" w:before="0" w:after="18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76" w:before="0" w:after="18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forth in this Agreement or the Plan, this Agreement will be binding upon and inure to the benefit of the heirs, legatees, legal representatives, successors and permitted assigns of the parties hereto.</w:t>
      </w:r>
    </w:p>
    <w:p>
      <w:pPr>
        <w:pStyle w:val="TextBody"/>
        <w:bidi w:val="0"/>
        <w:spacing w:lineRule="auto" w:line="276"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xml:space="preserve">.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w:t>
      </w:r>
    </w:p>
    <w:p>
      <w:pPr>
        <w:pStyle w:val="TextBody"/>
        <w:bidi w:val="0"/>
        <w:spacing w:before="0" w:after="0"/>
        <w:jc w:val="center"/>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1155"/>
                <wp:effectExtent l="0" t="0" r="0" b="0"/>
                <wp:wrapNone/>
                <wp:docPr id="250" name="Frame2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76"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hereto) constitute the entire agreement of the parties and supersede in their entirety all prior undertakings and agreements of the Company and Participant with respect to the subject matter hereof. Participant agrees and acknowledges that Participant has received and read a copy of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Special Provisions for Bahamas</w:t>
      </w:r>
      <w:r>
        <w:rPr>
          <w:rFonts w:ascii="Times New Roman;serif" w:hAnsi="Times New Roman;serif"/>
          <w:b w:val="false"/>
          <w:color w:val="000000"/>
          <w:sz w:val="24"/>
        </w:rPr>
        <w:t>. Notwithstanding any other provision of this Agreement or the Plan to the contrary:</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acknowledges that the grant, vesting, and settlement of this Award may be subject to the securities laws of The Bahamas, including the Securities Industry Act, 2024 and any successor legislation. The Company shall cooperate in good faith to facilitate any required filings, exemptions, or disclosures with the Securities Commission of The Bahamas.</w: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Participant understands that, as a resident of The Bahamas, holding or receiving foreign securities or related proceeds may require prior approval under the Exchange Control Regulations Act. Participant agrees to seek any necessary approvals, and the Company </w:t>
      </w:r>
    </w:p>
    <w:p>
      <w:pPr>
        <w:pStyle w:val="TextBody"/>
        <w:bidi w:val="0"/>
        <w:spacing w:before="0" w:after="0"/>
        <w:jc w:val="center"/>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1155"/>
                <wp:effectExtent l="0" t="0" r="0" b="0"/>
                <wp:wrapNone/>
                <wp:docPr id="251" name="Frame2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shall provide reasonable assistance in connection with such applications, including documentation of the award terms and valuation.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makes no representations regarding the tax treatment of this Award under Bahamian law. Participant is solely responsible for complying with any applicable tax reporting or payment obligations arising from the grant, vesting, or settlement of this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extent required by the laws of The Bahamas, this Agreement shall be interpreted in a manner consistent with such laws, provided that no provision herein shall be deemed to create an employment relationship under Bahamian law.</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1155"/>
                <wp:effectExtent l="0" t="0" r="0" b="0"/>
                <wp:wrapNone/>
                <wp:docPr id="252" name="Frame2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A-5</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w:t>
      </w:r>
      <w:r>
        <w:rPr>
          <w:rFonts w:ascii="Times New Roman;serif" w:hAnsi="Times New Roman;serif"/>
          <w:b w:val="false"/>
          <w:color w:val="000000"/>
          <w:sz w:val="24"/>
          <w:u w:val="single"/>
        </w:rPr>
        <w:t>/s/ Kaz Nejatian</w:t>
      </w:r>
      <w:r>
        <w:rPr>
          <w:rFonts w:ascii="Times New Roman;serif" w:hAnsi="Times New Roman;serif"/>
          <w:b w:val="false"/>
          <w:color w:val="000000"/>
          <w:sz w:val="24"/>
        </w:rPr>
        <w:t>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__</w:t>
      </w:r>
      <w:r>
        <w:rPr>
          <w:rFonts w:ascii="Times New Roman;serif" w:hAnsi="Times New Roman;serif"/>
          <w:b w:val="false"/>
          <w:color w:val="000000"/>
          <w:sz w:val="24"/>
          <w:u w:val="single"/>
        </w:rPr>
        <w:t>/s/ Giang Nguyen</w:t>
      </w:r>
      <w:r>
        <w:rPr>
          <w:rFonts w:ascii="Times New Roman;serif" w:hAnsi="Times New Roman;serif"/>
          <w:b w:val="false"/>
          <w:color w:val="000000"/>
          <w:sz w:val="24"/>
        </w:rPr>
        <w:t>________________</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Name: Giang Nguyen</w:t>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1155"/>
                <wp:effectExtent l="0" t="0" r="0" b="0"/>
                <wp:wrapNone/>
                <wp:docPr id="253" name="Frame2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A – First PSU Award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PSU VESTING CONDITIONS (FIRST SIGN-ON AWARD)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9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Vesting Conditions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76"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set forth in Sections 5 and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subject to Participant’s continued employment with the Company and its affiliates through the applicable date, the Time-Based Vesting Condition shall be satisfied as to twenty percent (20%) of the PSUs subject to the Award on the six (6)-month anniversary of the Vesting Commencement Date, and the Time-Based Vesting Condition shall be satisfied as to the remaining eighty percent (80%) of the PSUs subject to the Award (the “</w:t>
      </w:r>
      <w:r>
        <w:rPr>
          <w:rFonts w:ascii="Times New Roman;serif" w:hAnsi="Times New Roman;serif"/>
          <w:b w:val="false"/>
          <w:color w:val="000000"/>
          <w:sz w:val="24"/>
          <w:u w:val="single"/>
        </w:rPr>
        <w:t>Remainder</w:t>
      </w:r>
      <w:r>
        <w:rPr>
          <w:color w:val="000000"/>
        </w:rPr>
        <w:t>”</w:t>
      </w:r>
      <w:r>
        <w:rPr>
          <w:rFonts w:ascii="Times New Roman;serif" w:hAnsi="Times New Roman;serif"/>
          <w:b w:val="false"/>
          <w:color w:val="000000"/>
          <w:sz w:val="24"/>
        </w:rPr>
        <w:t>) in substantially equal installments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starting on the date that is three (3) months after the six (6)-month anniversary of the Vesting Commencement Date and continuing on each date that is three (3) months thereafter (such six (6)-month anniversary and each successive date that is three (3) months thereafter, a “</w:t>
      </w:r>
      <w:r>
        <w:rPr>
          <w:rFonts w:ascii="Times New Roman;serif" w:hAnsi="Times New Roman;serif"/>
          <w:b w:val="false"/>
          <w:color w:val="000000"/>
          <w:sz w:val="24"/>
          <w:u w:val="single"/>
        </w:rPr>
        <w:t>Measurement Date</w:t>
      </w:r>
      <w:r>
        <w:rPr>
          <w:color w:val="000000"/>
        </w:rPr>
        <w:t>”</w:t>
      </w:r>
      <w:r>
        <w:rPr>
          <w:rFonts w:ascii="Times New Roman;serif" w:hAnsi="Times New Roman;serif"/>
          <w:b w:val="false"/>
          <w:color w:val="000000"/>
          <w:sz w:val="24"/>
        </w:rPr>
        <w:t xml:space="preserve">), such that the Time-Based Vesting Condition shall be satisfied with respect to one hundred percent 100% of the Award on the four and one-half (4.5) year anniversary of the Vesting Commencement Date. For purposes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w:t>
      </w:r>
      <w:r>
        <w:rPr>
          <w:rFonts w:ascii="Times New Roman;serif" w:hAnsi="Times New Roman;serif"/>
          <w:b w:val="false"/>
          <w:color w:val="000000"/>
          <w:sz w:val="24"/>
          <w:u w:val="single"/>
        </w:rPr>
        <w:t>Tranche</w:t>
      </w:r>
      <w:r>
        <w:rPr>
          <w:color w:val="000000"/>
        </w:rPr>
        <w:t xml:space="preserve">” </w:t>
      </w:r>
      <w:r>
        <w:rPr>
          <w:rFonts w:ascii="Times New Roman;serif" w:hAnsi="Times New Roman;serif"/>
          <w:b w:val="false"/>
          <w:color w:val="000000"/>
          <w:sz w:val="24"/>
        </w:rPr>
        <w:t>will refer to the initial installment of twenty percent (20%) of the Award and to each installment of one-sixteenth (1/16</w:t>
      </w:r>
      <w:r>
        <w:rPr>
          <w:rFonts w:ascii="Times New Roman;serif" w:hAnsi="Times New Roman;serif"/>
          <w:b w:val="false"/>
          <w:color w:val="000000"/>
          <w:sz w:val="16"/>
        </w:rPr>
        <w:t>th</w:t>
      </w:r>
      <w:r>
        <w:rPr>
          <w:rFonts w:ascii="Times New Roman;serif" w:hAnsi="Times New Roman;serif"/>
          <w:b w:val="false"/>
          <w:color w:val="000000"/>
          <w:sz w:val="24"/>
        </w:rPr>
        <w:t>) of the Remainder. Except as otherwise expressly provided in Sections 5 or 6 below, if Participant’s employment terminates for any reason prior to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Vesting Commencement Date, then any Tranche that has not satisfied the Time-Based Vesting Condition pursuant to this Section 2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The Performance-Based Vesting Condition for each Tranche will be measured on the Measurement Date on which the Time-Based Vesting Condition for such Tranche is satisfied and on up to four Measurement Dates immediately following such Measurement Date (or such fewer number of Measurement Dates that remain in the Performance Period, if applicable). If the Company Stock Price equals or exceeds the Baseline Price as of any of such Measurement Dates, then the Performance-Based Vesting Condition of the applicable Tranche will be satisfied. If the Company Stock Price does not equal or exceed the Baseline Price as of any of such Measurement Dates then, as of the last of such Measurement Dates, the Tranche will be automatically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if applicable,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xml:space="preserve">. In the event Participant experiences a Non-CIC Qualifying Termination during the Performance Period, then, notwithstanding anything herein to the contrary, one-tenth (1/10th) of the Award (or, if less than one-tenth (1/10th) of the Award </w:t>
      </w:r>
    </w:p>
    <w:p>
      <w:pPr>
        <w:pStyle w:val="TextBody"/>
        <w:bidi w:val="0"/>
        <w:spacing w:before="0" w:after="0"/>
        <w:jc w:val="center"/>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remains outstanding as of the Termination Date, then the then-outstanding portion of the Award) will be deemed to have satisfied the Time-Based Vesting Condition and will vest upon the Termination Date (regardless of the Company Stock Price as of such date). For the avoidance of doubt, any Tranche for which the Time-Based Vesting Condition is not satisfied pursuant to this Section 5 shall be forfeited and cancelled as of the Termination Date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as of the Change in Control Date, the Change in Control Price equals or exceeds the Baseline Price, then all unvested PSUs shall remain outstanding and eligible to vest upon the achievement of the applicable Time-Based Vesting Condition. If, as of the Change in Control Date, the Change in Control Price does not equal or exceed the Baseline Price, then all unvested PSUs will be forfeited and cancelled as of the Change in Control Date for no consideration in respect thereof. </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CIC Qualifying Termination and PSUs remain outstanding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then (i) as of the later of the Change in Control Date and the Termination Date, the Time-Based Vesting Condition will be deemed to be satisfied with respect to a number of PSUs equal to (A) the product of (1) the total number of PSUs granted pursuant to the Award and (2) the CIC Performance Factor, minus (B) the number of PSUs that have already vested prior to the CIC Qualifying Termination and (ii) any PSUs that do not become vested pursuant to clause (i) will be forfeited and cancelled for no consideration in respect thereof. </w:t>
      </w:r>
    </w:p>
    <w:p>
      <w:pPr>
        <w:pStyle w:val="TextBody"/>
        <w:bidi w:val="0"/>
        <w:spacing w:lineRule="auto" w:line="276"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execution and non-revocation of a Release within the applicable time period set forth in the Severance Plan. </w:t>
      </w:r>
    </w:p>
    <w:p>
      <w:pPr>
        <w:pStyle w:val="TextBody"/>
        <w:bidi w:val="0"/>
        <w:spacing w:lineRule="auto" w:line="276"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end of the Performance Period, all unvested PSUs shall be forfeited and cancelled for no consideration in respect thereof. </w:t>
      </w:r>
    </w:p>
    <w:p>
      <w:pPr>
        <w:pStyle w:val="TextBody"/>
        <w:bidi w:val="0"/>
        <w:spacing w:lineRule="auto" w:line="276"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Baseline Price</w:t>
      </w:r>
      <w:r>
        <w:rPr>
          <w:color w:val="000000"/>
        </w:rPr>
        <w:t xml:space="preserve">” </w:t>
      </w:r>
      <w:r>
        <w:rPr>
          <w:rFonts w:ascii="Times New Roman;serif" w:hAnsi="Times New Roman;serif"/>
          <w:b w:val="false"/>
          <w:color w:val="000000"/>
          <w:sz w:val="24"/>
        </w:rPr>
        <w:t xml:space="preserve">means $6.24.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 xml:space="preserve">means (i) if the Change in Control Price is equal to or greater than $25.00 but less than $29.00, a fraction, the numerator of which is equal to five (5) and the denominator of which is equal to seven (7), (ii) if the Change in Control Price is equal to or greater than $29.00 but less than $33.00, a fraction, the numerator of which is </w:t>
      </w:r>
    </w:p>
    <w:p>
      <w:pPr>
        <w:pStyle w:val="TextBody"/>
        <w:bidi w:val="0"/>
        <w:spacing w:before="0" w:after="0"/>
        <w:jc w:val="center"/>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526415"/>
                <wp:effectExtent l="0" t="0" r="0" b="0"/>
                <wp:wrapNone/>
                <wp:docPr id="255" name="Frame25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equal to six (6) and the denominator of which is equal to seven (7) or (iii) if the Change in Control Price is equal to or greater than $33.00, one (1).</w:t>
      </w:r>
    </w:p>
    <w:p>
      <w:pPr>
        <w:pStyle w:val="TextBody"/>
        <w:bidi w:val="0"/>
        <w:spacing w:lineRule="auto" w:line="276"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means the average closing price of a Share on the Securities Exchange for any consecutive period of thirty (30) Trading Days that ends on the last Trading Day immediately preceding an applicable Measurement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 xml:space="preserve">shall have the meaning set forth in the Company’s long-term disability plan, as in effect from time to time (or, if no such plan is then in effect, as such term was most recently defined therein). </w:t>
      </w:r>
    </w:p>
    <w:p>
      <w:pPr>
        <w:pStyle w:val="TextBody"/>
        <w:bidi w:val="0"/>
        <w:spacing w:lineRule="auto" w:line="276"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Non-CIC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76"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means the period beginning on the Vesting Commencement Date and ending on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Vesting Commencement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Release</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means the last day of Participant’s employment with the Company or Subsidiary,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pStyle w:val="TextBody"/>
        <w:bidi w:val="0"/>
        <w:spacing w:lineRule="auto" w:line="288" w:before="0" w:after="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526415"/>
                <wp:effectExtent l="0" t="0" r="0" b="0"/>
                <wp:wrapNone/>
                <wp:docPr id="256" name="Frame25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A-3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Attachment B</w:t>
      </w:r>
    </w:p>
    <w:p>
      <w:pPr>
        <w:pStyle w:val="TextBody"/>
        <w:bidi w:val="0"/>
        <w:spacing w:before="0" w:after="0"/>
        <w:jc w:val="center"/>
        <w:rPr/>
      </w:pPr>
      <w:r>
        <w:rPr/>
      </w:r>
    </w:p>
    <w:tbl>
      <w:tblPr>
        <w:tblW w:w="6045" w:type="dxa"/>
        <w:jc w:val="left"/>
        <w:tblInd w:w="0" w:type="dxa"/>
        <w:tblLayout w:type="fixed"/>
        <w:tblCellMar>
          <w:top w:w="28" w:type="dxa"/>
          <w:left w:w="28" w:type="dxa"/>
          <w:bottom w:w="28" w:type="dxa"/>
          <w:right w:w="28" w:type="dxa"/>
        </w:tblCellMar>
      </w:tblPr>
      <w:tblGrid>
        <w:gridCol w:w="1935"/>
        <w:gridCol w:w="1701"/>
        <w:gridCol w:w="2409"/>
      </w:tblGrid>
      <w:tr>
        <w:trPr/>
        <w:tc>
          <w:tcPr>
            <w:tcW w:w="19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OPENDOOR TECHNOLOGIES INC.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PERFORMANCE-BASED RESTRICTED STOCK UNIT GRANT NOTICE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SECOND SIGN-ON PSU AWARD</w:t>
            </w:r>
          </w:p>
        </w:tc>
      </w:tr>
    </w:tbl>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18"/>
        </w:rPr>
        <w:t>Opendoor Technologies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has granted to the participant listed below (“</w:t>
      </w:r>
      <w:r>
        <w:rPr>
          <w:rFonts w:ascii="Arial;sans-serif" w:hAnsi="Arial;sans-serif"/>
          <w:b/>
          <w:i/>
          <w:color w:val="000000"/>
          <w:sz w:val="18"/>
        </w:rPr>
        <w:t>Participant</w:t>
      </w:r>
      <w:r>
        <w:rPr>
          <w:color w:val="000000"/>
        </w:rPr>
        <w:t>”</w:t>
      </w:r>
      <w:r>
        <w:rPr>
          <w:rFonts w:ascii="Arial;sans-serif" w:hAnsi="Arial;sans-serif"/>
          <w:b w:val="false"/>
          <w:color w:val="000000"/>
          <w:sz w:val="18"/>
        </w:rPr>
        <w:t>) the performance-based Restricted Stock Units (the “</w:t>
      </w:r>
      <w:r>
        <w:rPr>
          <w:rFonts w:ascii="Arial;sans-serif" w:hAnsi="Arial;sans-serif"/>
          <w:b/>
          <w:i/>
          <w:color w:val="000000"/>
          <w:sz w:val="18"/>
        </w:rPr>
        <w:t>PSUs</w:t>
      </w:r>
      <w:r>
        <w:rPr>
          <w:color w:val="000000"/>
        </w:rPr>
        <w:t>”</w:t>
      </w:r>
      <w:r>
        <w:rPr>
          <w:rFonts w:ascii="Arial;sans-serif" w:hAnsi="Arial;sans-serif"/>
          <w:b w:val="false"/>
          <w:color w:val="000000"/>
          <w:sz w:val="18"/>
        </w:rPr>
        <w:t>) described in this Performance-Based Restricted Stock Unit Grant Notice (this “</w:t>
      </w:r>
      <w:r>
        <w:rPr>
          <w:rFonts w:ascii="Arial;sans-serif" w:hAnsi="Arial;sans-serif"/>
          <w:b/>
          <w:i/>
          <w:color w:val="000000"/>
          <w:sz w:val="18"/>
        </w:rPr>
        <w:t>Grant Notice</w:t>
      </w:r>
      <w:r>
        <w:rPr>
          <w:color w:val="000000"/>
        </w:rPr>
        <w:t>”</w:t>
      </w:r>
      <w:r>
        <w:rPr>
          <w:rFonts w:ascii="Arial;sans-serif" w:hAnsi="Arial;sans-serif"/>
          <w:b w:val="false"/>
          <w:color w:val="000000"/>
          <w:sz w:val="18"/>
        </w:rPr>
        <w:t>), subject to the terms and conditions of the Opendoor Technologies Inc. 2020 Incentive Award Plan (as amended from time to time, the “</w:t>
      </w:r>
      <w:r>
        <w:rPr>
          <w:rFonts w:ascii="Arial;sans-serif" w:hAnsi="Arial;sans-serif"/>
          <w:b/>
          <w:i/>
          <w:color w:val="000000"/>
          <w:sz w:val="18"/>
        </w:rPr>
        <w:t>Plan</w:t>
      </w:r>
      <w:r>
        <w:rPr>
          <w:color w:val="000000"/>
        </w:rPr>
        <w:t>”</w:t>
      </w:r>
      <w:r>
        <w:rPr>
          <w:rFonts w:ascii="Arial;sans-serif" w:hAnsi="Arial;sans-serif"/>
          <w:b w:val="false"/>
          <w:color w:val="000000"/>
          <w:sz w:val="18"/>
        </w:rPr>
        <w:t xml:space="preserve">) and the Performance-Based Restricted Stock Unit Agreement attached hereto as </w:t>
      </w:r>
      <w:r>
        <w:rPr>
          <w:rFonts w:ascii="Arial;sans-serif" w:hAnsi="Arial;sans-serif"/>
          <w:b/>
          <w:color w:val="000000"/>
          <w:sz w:val="18"/>
        </w:rPr>
        <w:t xml:space="preserve">Exhibit A </w:t>
      </w:r>
      <w:r>
        <w:rPr>
          <w:rFonts w:ascii="Arial;sans-serif" w:hAnsi="Arial;sans-serif"/>
          <w:b w:val="false"/>
          <w:color w:val="000000"/>
          <w:sz w:val="18"/>
        </w:rPr>
        <w:t>(the “</w:t>
      </w:r>
      <w:r>
        <w:rPr>
          <w:rFonts w:ascii="Arial;sans-serif" w:hAnsi="Arial;sans-serif"/>
          <w:b/>
          <w:i/>
          <w:color w:val="000000"/>
          <w:sz w:val="18"/>
        </w:rPr>
        <w:t>Agreement</w:t>
      </w:r>
      <w:r>
        <w:rPr>
          <w:color w:val="000000"/>
        </w:rPr>
        <w:t>”</w:t>
      </w:r>
      <w:r>
        <w:rPr>
          <w:rFonts w:ascii="Arial;sans-serif" w:hAnsi="Arial;sans-serif"/>
          <w:b w:val="false"/>
          <w:color w:val="000000"/>
          <w:sz w:val="18"/>
        </w:rPr>
        <w:t xml:space="preserve">), both of which are incorporated into this Grant Notice by reference. </w:t>
      </w:r>
    </w:p>
    <w:p>
      <w:pPr>
        <w:pStyle w:val="TextBody"/>
        <w:bidi w:val="0"/>
        <w:spacing w:lineRule="auto" w:line="288" w:before="0" w:after="0"/>
        <w:jc w:val="left"/>
        <w:rPr/>
      </w:pPr>
      <w:r>
        <w:rPr>
          <w:rFonts w:ascii="Arial;sans-serif" w:hAnsi="Arial;sans-serif"/>
          <w:b/>
          <w:color w:val="000000"/>
          <w:sz w:val="18"/>
        </w:rPr>
        <w:t xml:space="preserve">Participant: </w:t>
      </w:r>
      <w:r>
        <w:rPr>
          <w:rFonts w:ascii="Arial;sans-serif" w:hAnsi="Arial;sans-serif"/>
          <w:b w:val="false"/>
          <w:color w:val="000000"/>
          <w:sz w:val="18"/>
        </w:rPr>
        <w:t>Giang Nguyen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Grant Date: </w:t>
      </w:r>
      <w:r>
        <w:rPr>
          <w:rFonts w:ascii="Arial;sans-serif" w:hAnsi="Arial;sans-serif"/>
          <w:b w:val="false"/>
          <w:color w:val="000000"/>
          <w:sz w:val="18"/>
        </w:rPr>
        <w:t>December 10,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Number of PSUs: </w:t>
      </w:r>
      <w:r>
        <w:rPr>
          <w:rFonts w:ascii="Arial;sans-serif" w:hAnsi="Arial;sans-serif"/>
          <w:b w:val="false"/>
          <w:color w:val="000000"/>
          <w:sz w:val="18"/>
        </w:rPr>
        <w:t>4,100,000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Vesting Commencement Date: </w:t>
      </w:r>
      <w:r>
        <w:rPr>
          <w:rFonts w:ascii="Arial;sans-serif" w:hAnsi="Arial;sans-serif"/>
          <w:b w:val="false"/>
          <w:color w:val="000000"/>
          <w:sz w:val="18"/>
        </w:rPr>
        <w:t>October 15, 2025</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18"/>
        </w:rPr>
        <w:t>Vesting Schedule:</w:t>
      </w:r>
      <w:r>
        <w:rPr>
          <w:color w:val="000000"/>
        </w:rPr>
        <w:t xml:space="preserve"> </w:t>
      </w:r>
      <w:r>
        <w:rPr>
          <w:rFonts w:ascii="Arial;sans-serif" w:hAnsi="Arial;sans-serif"/>
          <w:b w:val="false"/>
          <w:color w:val="000000"/>
          <w:sz w:val="18"/>
        </w:rPr>
        <w:t xml:space="preserve">Subject to the terms of the Performance-Based Restricted Stock Unit Agreement, the PSUs shall vest as set forth in </w:t>
      </w:r>
      <w:r>
        <w:rPr>
          <w:rFonts w:ascii="Arial;sans-serif" w:hAnsi="Arial;sans-serif"/>
          <w:b/>
          <w:color w:val="000000"/>
          <w:sz w:val="18"/>
        </w:rPr>
        <w:t>Exhibit B</w:t>
      </w:r>
      <w:r>
        <w:rPr>
          <w:color w:val="000000"/>
        </w:rPr>
        <w:t xml:space="preserve"> </w:t>
      </w:r>
      <w:r>
        <w:rPr>
          <w:rFonts w:ascii="Arial;sans-serif" w:hAnsi="Arial;sans-serif"/>
          <w:b w:val="false"/>
          <w:color w:val="000000"/>
          <w:sz w:val="18"/>
        </w:rPr>
        <w:t>attached hereto.</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By accepting (whether in writing, electronically or otherwise) the PSUs, Participant agrees to be bound by the terms of this Grant Notice, the Plan and the Agreement. Participant has read and understands that this Grant Notice, the Plan and the Agreement in their entirety, has had an opportunity to obtain the advice of counsel prior to executing this Grant Notice and fully understands all applicable provisions of the Plan, this Grant Notice and the Agreement. </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 xml:space="preserve">NOTE: PSUs will be cancelled and forfeited on your Termination Date except as set forth in the Agreement; you will not be entitled to compensation or damages pursuant to contract, common law or civil law in respect of any such cancellation and forfeiture. </w:t>
            </w:r>
          </w:p>
        </w:tc>
      </w:tr>
    </w:tbl>
    <w:p>
      <w:pPr>
        <w:pStyle w:val="TextBody"/>
        <w:bidi w:val="0"/>
        <w:spacing w:before="0" w:after="240"/>
        <w:jc w:val="both"/>
        <w:rPr/>
      </w:pPr>
      <w:r>
        <w:rPr/>
      </w:r>
    </w:p>
    <w:p>
      <w:pPr>
        <w:pStyle w:val="TextBody"/>
        <w:bidi w:val="0"/>
        <w:spacing w:lineRule="auto" w:line="288" w:before="0" w:after="0"/>
        <w:jc w:val="left"/>
        <w:rPr/>
      </w:pPr>
      <w:r>
        <w:rPr>
          <w:rFonts w:ascii="Arial;sans-serif" w:hAnsi="Arial;sans-serif"/>
          <w:b/>
          <w:color w:val="000000"/>
          <w:sz w:val="18"/>
        </w:rPr>
        <w:t>OPENDOOR TECHNOLOGIES INC.</w:t>
      </w:r>
      <w:r>
        <w:rPr>
          <w:color w:val="000000"/>
        </w:rPr>
        <w:t>    </w:t>
      </w:r>
      <w:r>
        <w:rPr>
          <w:rFonts w:ascii="Arial;sans-serif" w:hAnsi="Arial;sans-serif"/>
          <w:b/>
          <w:color w:val="000000"/>
          <w:sz w:val="18"/>
        </w:rPr>
        <w:t>PARTICIPANT</w:t>
      </w:r>
    </w:p>
    <w:p>
      <w:pPr>
        <w:pStyle w:val="TextBody"/>
        <w:bidi w:val="0"/>
        <w:spacing w:before="0" w:after="0"/>
        <w:jc w:val="left"/>
        <w:rPr/>
      </w:pPr>
      <w:r>
        <w:rPr/>
      </w:r>
    </w:p>
    <w:tbl>
      <w:tblPr>
        <w:tblW w:w="4496" w:type="dxa"/>
        <w:jc w:val="left"/>
        <w:tblInd w:w="0" w:type="dxa"/>
        <w:tblLayout w:type="fixed"/>
        <w:tblCellMar>
          <w:top w:w="28" w:type="dxa"/>
          <w:left w:w="28" w:type="dxa"/>
          <w:bottom w:w="28" w:type="dxa"/>
          <w:right w:w="28" w:type="dxa"/>
        </w:tblCellMar>
      </w:tblPr>
      <w:tblGrid>
        <w:gridCol w:w="239"/>
        <w:gridCol w:w="210"/>
        <w:gridCol w:w="211"/>
        <w:gridCol w:w="649"/>
        <w:gridCol w:w="649"/>
        <w:gridCol w:w="652"/>
        <w:gridCol w:w="109"/>
        <w:gridCol w:w="109"/>
        <w:gridCol w:w="109"/>
        <w:gridCol w:w="456"/>
        <w:gridCol w:w="456"/>
        <w:gridCol w:w="647"/>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Kaz Nejatian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Giang Nguyen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19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 Nejatian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Giang Nguyen</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19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1155"/>
                <wp:effectExtent l="0" t="0" r="0" b="0"/>
                <wp:wrapNone/>
                <wp:docPr id="257" name="Frame2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Exhibit A to Attachment B</w:t>
      </w:r>
    </w:p>
    <w:p>
      <w:pPr>
        <w:pStyle w:val="TextBody"/>
        <w:bidi w:val="0"/>
        <w:spacing w:before="0" w:after="0"/>
        <w:jc w:val="center"/>
        <w:rPr/>
      </w:pPr>
      <w:r>
        <w:rPr/>
      </w:r>
    </w:p>
    <w:tbl>
      <w:tblPr>
        <w:tblW w:w="7905" w:type="dxa"/>
        <w:jc w:val="left"/>
        <w:tblInd w:w="0" w:type="dxa"/>
        <w:tblLayout w:type="fixed"/>
        <w:tblCellMar>
          <w:top w:w="28" w:type="dxa"/>
          <w:left w:w="28" w:type="dxa"/>
          <w:bottom w:w="28" w:type="dxa"/>
          <w:right w:w="28" w:type="dxa"/>
        </w:tblCellMar>
      </w:tblPr>
      <w:tblGrid>
        <w:gridCol w:w="2531"/>
        <w:gridCol w:w="2226"/>
        <w:gridCol w:w="3148"/>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t>OPENDOOR TECHNOLOGIES INC.</w:t>
            </w:r>
          </w:p>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PERFORMANCE-BASED RESTRICTED STOCK UNIT AGREEMENT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Capitalized terms not specifically defined in this Agreement have the meanings specified in the Grant Notice or, if not defined in the Grant Notice, in the Plan.</w:t>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Award of PSUs</w:t>
      </w:r>
      <w:r>
        <w:rPr>
          <w:rFonts w:ascii="Times New Roman;serif" w:hAnsi="Times New Roman;serif"/>
          <w:b w:val="false"/>
          <w:color w:val="000000"/>
          <w:sz w:val="24"/>
        </w:rPr>
        <w:t>. The Company has granted the PSUs to Participant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effective as of the Grant Date set forth in the Grant Notice (the “</w:t>
      </w:r>
      <w:r>
        <w:rPr>
          <w:rFonts w:ascii="Times New Roman;serif" w:hAnsi="Times New Roman;serif"/>
          <w:b/>
          <w:i/>
          <w:color w:val="000000"/>
          <w:sz w:val="24"/>
        </w:rPr>
        <w:t>Grant Date</w:t>
      </w:r>
      <w:r>
        <w:rPr>
          <w:color w:val="000000"/>
        </w:rPr>
        <w:t>”</w:t>
      </w:r>
      <w:r>
        <w:rPr>
          <w:rFonts w:ascii="Times New Roman;serif" w:hAnsi="Times New Roman;serif"/>
          <w:b w:val="false"/>
          <w:color w:val="000000"/>
          <w:sz w:val="24"/>
        </w:rPr>
        <w:t>). Each PSU represents the right to receive one Share as set forth in this Agreement. Participant will have no right to be issued any Shares until the time (if ever) the PSUs have vested.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Incorporation of Terms of the Plan</w:t>
      </w:r>
      <w:r>
        <w:rPr>
          <w:rFonts w:ascii="Times New Roman;serif" w:hAnsi="Times New Roman;serif"/>
          <w:b w:val="false"/>
          <w:color w:val="000000"/>
          <w:sz w:val="24"/>
        </w:rPr>
        <w:t xml:space="preserve">. The PSUs are subject to the terms and conditions set forth in this Agreement and the Plan, which is incorporated herein by reference. In the event of any conflict between the Plan and this Agreement, the terms of this Agreement will control; provided, however, that no action by the Administrator or the Company that is permitted under Articles 8.2(e) or 8.2(f) of the Plan shall have an adverse effect on the economic value of the Award, as determined by the Administrator in its reasonable discretion, without the express written consent of the Participant.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Unsecured Promise</w:t>
      </w:r>
      <w:r>
        <w:rPr>
          <w:rFonts w:ascii="Times New Roman;serif" w:hAnsi="Times New Roman;serif"/>
          <w:b w:val="false"/>
          <w:color w:val="000000"/>
          <w:sz w:val="24"/>
        </w:rPr>
        <w:t>. The PSUs will at all times prior to settlement represent an unsecured Company obligation payable only from the Company’s general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Capitalized terms used in this Agreement will have the meanings set forth in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or, if not defined in </w:t>
      </w:r>
      <w:r>
        <w:rPr>
          <w:rFonts w:ascii="Times New Roman;serif" w:hAnsi="Times New Roman;serif"/>
          <w:b/>
          <w:color w:val="000000"/>
          <w:sz w:val="24"/>
        </w:rPr>
        <w:t>Exhibit B</w:t>
      </w:r>
      <w:r>
        <w:rPr>
          <w:rFonts w:ascii="Times New Roman;serif" w:hAnsi="Times New Roman;serif"/>
          <w:b w:val="false"/>
          <w:color w:val="000000"/>
          <w:sz w:val="24"/>
        </w:rPr>
        <w:t>, will have the same meanings as in the Plan.</w:t>
      </w:r>
    </w:p>
    <w:p>
      <w:pPr>
        <w:pStyle w:val="TextBody"/>
        <w:bidi w:val="0"/>
        <w:spacing w:lineRule="auto" w:line="288"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Vesting;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vest according to the terms and conditions set forth in </w:t>
      </w:r>
      <w:r>
        <w:rPr>
          <w:rFonts w:ascii="Times New Roman;serif" w:hAnsi="Times New Roman;serif"/>
          <w:b/>
          <w:color w:val="000000"/>
          <w:sz w:val="24"/>
        </w:rPr>
        <w:t>Exhibit B</w:t>
      </w:r>
      <w:r>
        <w:rPr>
          <w:rFonts w:ascii="Times New Roman;serif" w:hAnsi="Times New Roman;serif"/>
          <w:b w:val="false"/>
          <w:color w:val="000000"/>
          <w:sz w:val="24"/>
        </w:rPr>
        <w:t xml:space="preserve">. In the event of Participant’s Termination of Service for any reason, all unvested PSUs will immediately and automatically be cancelled and forfeited, except as otherwise provided in </w:t>
      </w:r>
      <w:r>
        <w:rPr>
          <w:rFonts w:ascii="Times New Roman;serif" w:hAnsi="Times New Roman;serif"/>
          <w:b/>
          <w:color w:val="000000"/>
          <w:sz w:val="24"/>
        </w:rPr>
        <w:t xml:space="preserve">Exhibit B </w:t>
      </w:r>
      <w:r>
        <w:rPr>
          <w:rFonts w:ascii="Times New Roman;serif" w:hAnsi="Times New Roman;serif"/>
          <w:b w:val="false"/>
          <w:color w:val="000000"/>
          <w:sz w:val="24"/>
        </w:rPr>
        <w:t>or in a binding written agreement between Participant and the Company that specifically provides that it is intended to supersede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terms of the Plan, Participant’s Termination of Service is deemed to occur on the Termination Date for the purposes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PSUs will be paid in Shares as soon as administratively practicable after the vesting of the applicable PSU, but in no event later than the March 15 of the year following the year in which the applicable vesting date occurs.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the Company may delay any payment under this Agreement that the Company reasonably determines would violate the Applicable Laws until the earliest date the Company reasonably determines the making of the payment will not cause such a violation (in accordance with Treasury Regulation Section 1.409A-2(b)(7)(ii));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reasonably believes the delay will not result in the imposition of excise taxes under Section 409A. </w:t>
      </w:r>
    </w:p>
    <w:p>
      <w:pPr>
        <w:pStyle w:val="TextBody"/>
        <w:bidi w:val="0"/>
        <w:spacing w:lineRule="auto" w:line="288"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Representation</w:t>
      </w:r>
      <w:r>
        <w:rPr>
          <w:rFonts w:ascii="Times New Roman;serif" w:hAnsi="Times New Roman;serif"/>
          <w:b w:val="false"/>
          <w:color w:val="000000"/>
          <w:sz w:val="24"/>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may pay the Company, or make provision satisfactory to the Administrator for payment of, any taxes required by Applicable Law to be withheld in connection with such Participant’s PSUs. If Participant does not pay the Company such taxes, then following consultation between Participant and the Company and subject to any requirements or limitations under Applicable Law, the Company shall and Participant hereby authorizes and consents to the Company, or their respective agents, at their discretion, to satisfy their withholding obligations with regard to the PSUs by one of the following methods, notwithstanding anything to the contrary in Article 9.5 of the Plan: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(i)by surrendering to the Company for cancellation PSUs with respect to that number of Shares with a Fair Market Value to the applicable tax withholding obligations;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(ii)if there is a public market for Shares at the time the tax obligations are satisfied, delivery by the Company of a copy of irrevocable and unconditional instructions to a broker acceptable to the Company to sell shares issued in respect of the PSUs in an amount necessary to satisfy the applicable tax withholding obligations and deliver promptly to the Company funds sufficient to satisfy the tax withholding; provided that such amount is paid to the Company as soon as practicable; 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combination of the payment forms described in clauses (i)-(ii) of this Article 3.2(a).</w:t>
      </w:r>
    </w:p>
    <w:p>
      <w:pPr>
        <w:pStyle w:val="TextBody"/>
        <w:bidi w:val="0"/>
        <w:spacing w:before="0" w:after="0"/>
        <w:jc w:val="center"/>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1155"/>
                <wp:effectExtent l="0" t="0" r="0" b="0"/>
                <wp:wrapNone/>
                <wp:docPr id="259" name="Frame2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regarding the treatment of any tax withholding in connection with the awarding, vesting or payment of the PSUs or the subsequent sale of Shares. The Company and its Subsidiaries do not commit and are under no obligation to structure the PSUs to reduce or eliminate Participant’s tax liability.</w:t>
      </w:r>
    </w:p>
    <w:p>
      <w:pPr>
        <w:pStyle w:val="TextBody"/>
        <w:bidi w:val="0"/>
        <w:spacing w:lineRule="auto" w:line="288" w:before="0" w:after="180"/>
        <w:jc w:val="center"/>
        <w:rPr/>
      </w:pPr>
      <w:r>
        <w:rPr>
          <w:rFonts w:ascii="Times New Roman;serif" w:hAnsi="Times New Roman;serif"/>
          <w:b/>
          <w:color w:val="000000"/>
          <w:sz w:val="24"/>
        </w:rPr>
        <w:t>Article 4</w:t>
      </w:r>
      <w:r>
        <w:rPr>
          <w:rFonts w:ascii="Times New Roman;serif" w:hAnsi="Times New Roman;serif"/>
          <w:b/>
          <w:color w:val="000000"/>
          <w:sz w:val="24"/>
        </w:rPr>
        <w:br/>
        <w:t>OTHER PROVISIONS</w:t>
      </w:r>
    </w:p>
    <w:p>
      <w:pPr>
        <w:pStyle w:val="TextBody"/>
        <w:bidi w:val="0"/>
        <w:spacing w:lineRule="auto" w:line="276" w:before="0" w:after="18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Adjustments</w:t>
      </w:r>
      <w:r>
        <w:rPr>
          <w:rFonts w:ascii="Times New Roman;serif" w:hAnsi="Times New Roman;serif"/>
          <w:b w:val="false"/>
          <w:color w:val="000000"/>
          <w:sz w:val="24"/>
        </w:rPr>
        <w:t>. Participant acknowledges that the PSUs, and the Shares subject to the PSUs, are subject to adjustment, modification and termination in certain events as provided in this Agreement and the Plan.</w:t>
      </w:r>
    </w:p>
    <w:p>
      <w:pPr>
        <w:pStyle w:val="TextBody"/>
        <w:bidi w:val="0"/>
        <w:spacing w:lineRule="auto" w:line="276" w:before="0" w:after="18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a regularly maintained branch post office, when delivered by a nationally recognized express shipping company or upon receipt of a facsimile transmission confirmation.</w:t>
      </w:r>
    </w:p>
    <w:p>
      <w:pPr>
        <w:pStyle w:val="TextBody"/>
        <w:bidi w:val="0"/>
        <w:spacing w:lineRule="auto" w:line="276" w:before="0" w:after="18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76" w:before="0" w:after="18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lineRule="auto" w:line="276"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provided that any such assignee is the successor to all or substantially all of the business and assets of the Company and expressly assumes the liabilities and obligations of the Company under this Agreement, and this Agreement will inure to the benefit of the successors and permitted assigns of the Company. Subject to the restrictions on transfer set forth in this Agreement or the Plan, this Agreement will be binding upon and inure to the benefit of the heirs, legatees, legal representatives, successors and permitted assigns of the parties hereto.</w:t>
      </w:r>
    </w:p>
    <w:p>
      <w:pPr>
        <w:pStyle w:val="TextBody"/>
        <w:bidi w:val="0"/>
        <w:spacing w:lineRule="auto" w:line="276"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xml:space="preserve">.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w:t>
      </w:r>
    </w:p>
    <w:p>
      <w:pPr>
        <w:pStyle w:val="TextBody"/>
        <w:bidi w:val="0"/>
        <w:spacing w:before="0" w:after="0"/>
        <w:jc w:val="center"/>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51155"/>
                <wp:effectExtent l="0" t="0" r="0" b="0"/>
                <wp:wrapNone/>
                <wp:docPr id="260" name="Frame2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76"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Plan, the Grant Notice and this Agreement (including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hereto) constitute the entire agreement of the parties and supersede in their entirety all prior undertakings and agreements of the Company and Participant with respect to the subject matter hereof. Participant agrees and acknowledges that Participant has received and read a copy of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The participation of any Participant in the Plan is entirely voluntary and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Special Provisions for Bahamas</w:t>
      </w:r>
      <w:r>
        <w:rPr>
          <w:rFonts w:ascii="Times New Roman;serif" w:hAnsi="Times New Roman;serif"/>
          <w:b w:val="false"/>
          <w:color w:val="000000"/>
          <w:sz w:val="24"/>
        </w:rPr>
        <w:t>. Notwithstanding any other provision of this Agreement or the Plan to the contrary:</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acknowledges that the grant, vesting, and settlement of this Award may be subject to the securities laws of The Bahamas, including the Securities Industry Act, 2024 and any successor legislation. The Company shall cooperate in good faith to facilitate any required filings, exemptions, or disclosures with the Securities Commission of The Bahamas.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Participant understands that, as a resident of The Bahamas, holding or receiving foreign securities or related proceeds may require prior approval under the Exchange Control Regulations Act. Participant agrees to seek any necessary approvals, and the Company </w:t>
      </w:r>
    </w:p>
    <w:p>
      <w:pPr>
        <w:pStyle w:val="TextBody"/>
        <w:bidi w:val="0"/>
        <w:spacing w:before="0" w:after="0"/>
        <w:jc w:val="center"/>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51155"/>
                <wp:effectExtent l="0" t="0" r="0" b="0"/>
                <wp:wrapNone/>
                <wp:docPr id="261" name="Frame2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provide reasonable assistance in connection with such applications, including documentation of the award terms and valuation.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makes no representations regarding the tax treatment of this Award under Bahamian law. Participant is solely responsible for complying with any applicable tax reporting or payment obligations arising from the grant, vesting, or settlement of this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extent required by the laws of The Bahamas, this Agreement shall be interpreted in a manner consistent with such laws, provided that no provision herein shall be deemed to create an employment relationship under Bahamian law.</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1155"/>
                <wp:effectExtent l="0" t="0" r="0" b="0"/>
                <wp:wrapNone/>
                <wp:docPr id="262" name="Frame2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A B-5</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WITNESS WHEREOF, the parties hereto have executed this Agreement.</w:t>
      </w:r>
    </w:p>
    <w:p>
      <w:pPr>
        <w:pStyle w:val="TextBody"/>
        <w:bidi w:val="0"/>
        <w:spacing w:lineRule="auto" w:line="288" w:before="0" w:after="240"/>
        <w:jc w:val="both"/>
        <w:rPr/>
      </w:pPr>
      <w:r>
        <w:rPr>
          <w:color w:val="000000"/>
        </w:rPr>
        <w:t>                    </w:t>
      </w:r>
      <w:r>
        <w:rPr>
          <w:rFonts w:ascii="Times New Roman;serif" w:hAnsi="Times New Roman;serif"/>
          <w:b/>
          <w:color w:val="000000"/>
          <w:sz w:val="24"/>
        </w:rPr>
        <w:t>OPENDOOR TECHNOLOGIES INC.</w:t>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w:t>
      </w:r>
      <w:r>
        <w:rPr>
          <w:rFonts w:ascii="Times New Roman;serif" w:hAnsi="Times New Roman;serif"/>
          <w:b w:val="false"/>
          <w:color w:val="000000"/>
          <w:sz w:val="24"/>
          <w:u w:val="single"/>
        </w:rPr>
        <w:t>/s/ Kaz Nejatian</w:t>
      </w:r>
      <w:r>
        <w:rPr>
          <w:rFonts w:ascii="Times New Roman;serif" w:hAnsi="Times New Roman;serif"/>
          <w:b w:val="false"/>
          <w:color w:val="000000"/>
          <w:sz w:val="24"/>
        </w:rPr>
        <w:t>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Kaz Nejatian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Participant</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By: _</w:t>
      </w:r>
      <w:r>
        <w:rPr>
          <w:rFonts w:ascii="Times New Roman;serif" w:hAnsi="Times New Roman;serif"/>
          <w:b w:val="false"/>
          <w:color w:val="000000"/>
          <w:sz w:val="24"/>
          <w:u w:val="single"/>
        </w:rPr>
        <w:t>/s/ Giang Nguyen</w:t>
      </w:r>
      <w:r>
        <w:rPr>
          <w:rFonts w:ascii="Times New Roman;serif" w:hAnsi="Times New Roman;serif"/>
          <w:b w:val="false"/>
          <w:color w:val="000000"/>
          <w:sz w:val="24"/>
        </w:rPr>
        <w:t>_________________</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Name: Giang Nguyen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63" name="Frame2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Attachment B – Second PSU Award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Exhibit B to Attachment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PSU VESTING CONDITIONS (SECOND SIGN-ON AWARD)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In addition to the terms set forth in the Grant Notice and the Agreement, the Award will be subject to the terms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Capitalized terms will have the meaning ascribed to such terms in the Grant Notice or above sections of the Agreement, as applicable, unless otherwise noted or otherwise defined in Section 10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 xml:space="preserve">Vesting </w:t>
      </w:r>
      <w:r>
        <w:rPr>
          <w:rFonts w:ascii="Times New Roman;serif" w:hAnsi="Times New Roman;serif"/>
          <w:b w:val="false"/>
          <w:color w:val="000000"/>
          <w:sz w:val="24"/>
        </w:rPr>
        <w:t xml:space="preserve">Conditions.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sets forth the terms and conditions pursuant to which the PSUs will be deemed to have satisfied the Performance-Based Vesting Condition and the Time-Based Vesting Condition.</w:t>
      </w:r>
    </w:p>
    <w:p>
      <w:pPr>
        <w:pStyle w:val="TextBody"/>
        <w:bidi w:val="0"/>
        <w:spacing w:lineRule="auto" w:line="276"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Performance-Based Vesting Condition</w:t>
      </w:r>
      <w:r>
        <w:rPr>
          <w:rFonts w:ascii="Times New Roman;serif" w:hAnsi="Times New Roman;serif"/>
          <w:b w:val="false"/>
          <w:color w:val="000000"/>
          <w:sz w:val="24"/>
        </w:rPr>
        <w:t xml:space="preserve">. Except as set forth in Sections 5 or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on the date on which the Company Stock Price meets or exceeds the dollar value specified in any of the rows below in the column entitled “Stock Price Hurdle” (each, a “</w:t>
      </w:r>
      <w:r>
        <w:rPr>
          <w:rFonts w:ascii="Times New Roman;serif" w:hAnsi="Times New Roman;serif"/>
          <w:b w:val="false"/>
          <w:i/>
          <w:color w:val="000000"/>
          <w:sz w:val="24"/>
        </w:rPr>
        <w:t>Stock Price Hurdle</w:t>
      </w:r>
      <w:r>
        <w:rPr>
          <w:color w:val="000000"/>
        </w:rPr>
        <w:t>”</w:t>
      </w:r>
      <w:r>
        <w:rPr>
          <w:rFonts w:ascii="Times New Roman;serif" w:hAnsi="Times New Roman;serif"/>
          <w:b w:val="false"/>
          <w:color w:val="000000"/>
          <w:sz w:val="24"/>
        </w:rPr>
        <w:t>) at any point during the Performance Period, the Performance-Based Vesting Condition will be satisfied with respect to (a) the number of PSUs listed in the table below directly across from such Stock Price Hurdle (each, a “</w:t>
      </w:r>
      <w:r>
        <w:rPr>
          <w:rFonts w:ascii="Times New Roman;serif" w:hAnsi="Times New Roman;serif"/>
          <w:b w:val="false"/>
          <w:i/>
          <w:color w:val="000000"/>
          <w:sz w:val="24"/>
        </w:rPr>
        <w:t>Tranche</w:t>
      </w:r>
      <w:r>
        <w:rPr>
          <w:color w:val="000000"/>
        </w:rPr>
        <w:t>”</w:t>
      </w:r>
      <w:r>
        <w:rPr>
          <w:rFonts w:ascii="Times New Roman;serif" w:hAnsi="Times New Roman;serif"/>
          <w:b w:val="false"/>
          <w:color w:val="000000"/>
          <w:sz w:val="24"/>
        </w:rPr>
        <w:t>) and (b) each preceding Tranche solely to the extent that the Stock Price Hurdles applicable to each such Tranche have not already been achieved. The Committee will certify attainment of the Stock Price Hurdle within ten (10) days thereafter. For the avoidance of doubt, once a Stock Price Hurdle has been achieved during the Performance Period, (a) it will forever be treated as having been achieved, regardless of any subsequent changes in the trading price of a Share and (b) such Stock Price Hurdle cannot be achieved again.</w:t>
      </w:r>
    </w:p>
    <w:tbl>
      <w:tblPr>
        <w:tblW w:w="4127" w:type="dxa"/>
        <w:jc w:val="left"/>
        <w:tblInd w:w="0" w:type="dxa"/>
        <w:tblLayout w:type="fixed"/>
        <w:tblCellMar>
          <w:top w:w="28" w:type="dxa"/>
          <w:left w:w="28" w:type="dxa"/>
          <w:bottom w:w="28" w:type="dxa"/>
          <w:right w:w="28" w:type="dxa"/>
        </w:tblCellMar>
      </w:tblPr>
      <w:tblGrid>
        <w:gridCol w:w="359"/>
        <w:gridCol w:w="315"/>
        <w:gridCol w:w="317"/>
        <w:gridCol w:w="734"/>
        <w:gridCol w:w="734"/>
        <w:gridCol w:w="737"/>
        <w:gridCol w:w="271"/>
        <w:gridCol w:w="271"/>
        <w:gridCol w:w="38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Tranche</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Stock Price Hurdle</w:t>
            </w:r>
            <w:r>
              <w:rPr>
                <w:rFonts w:ascii="Times New Roman;serif" w:hAnsi="Times New Roman;serif"/>
                <w:b/>
                <w:color w:val="000000"/>
                <w:sz w:val="16"/>
              </w:rPr>
              <w:t>(1)</w:t>
            </w:r>
          </w:p>
        </w:tc>
        <w:tc>
          <w:tcPr>
            <w:tcW w:w="931" w:type="dxa"/>
            <w:gridSpan w:val="3"/>
            <w:tcBorders>
              <w:top w:val="single" w:sz="8" w:space="0" w:color="000000"/>
              <w:left w:val="single" w:sz="8" w:space="0" w:color="000000"/>
              <w:right w:val="single" w:sz="8"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PSUs </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585,714</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$29.00</w:t>
            </w:r>
          </w:p>
        </w:tc>
        <w:tc>
          <w:tcPr>
            <w:tcW w:w="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585,715</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22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$33.00</w:t>
            </w:r>
          </w:p>
        </w:tc>
        <w:tc>
          <w:tcPr>
            <w:tcW w:w="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585,715</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(1)    </w:t>
      </w:r>
      <w:r>
        <w:rPr>
          <w:rFonts w:ascii="Times New Roman;serif" w:hAnsi="Times New Roman;serif"/>
          <w:b w:val="false"/>
          <w:color w:val="000000"/>
          <w:sz w:val="20"/>
          <w:shd w:fill="FFFFFF" w:val="clear"/>
        </w:rPr>
        <w:t>The Stock Price Hurdles will be adjusted as appropriate to reflect any stock splits, stock dividends, combinations, reorganizations, reclassifications or similar event, in accordance with the terms of the Plan and the Agreement. The Committee, in order to prevent diminution or enlargement of the benefits or potential benefits intended to be made available under the Agreement, will make the determination of any such adjustments required in connection with any such event. For the avoidance of doubt, the adjustment provisions contained in the Plan (as modified in the Agreement) are incorporated herein by reference herein.</w:t>
      </w:r>
    </w:p>
    <w:p>
      <w:pPr>
        <w:pStyle w:val="TextBody"/>
        <w:bidi w:val="0"/>
        <w:spacing w:before="0" w:after="0"/>
        <w:jc w:val="left"/>
        <w:rPr/>
      </w:pPr>
      <w:r>
        <w:rPr/>
      </w:r>
    </w:p>
    <w:p>
      <w:pPr>
        <w:pStyle w:val="TextBody"/>
        <w:bidi w:val="0"/>
        <w:spacing w:lineRule="auto" w:line="276"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Time-Based Vesting Condition</w:t>
      </w:r>
      <w:r>
        <w:rPr>
          <w:rFonts w:ascii="Times New Roman;serif" w:hAnsi="Times New Roman;serif"/>
          <w:b w:val="false"/>
          <w:color w:val="000000"/>
          <w:sz w:val="24"/>
        </w:rPr>
        <w:t xml:space="preserve">. Except as provided in Sections 5 or 6 of this </w:t>
      </w:r>
      <w:r>
        <w:rPr>
          <w:rFonts w:ascii="Times New Roman;serif" w:hAnsi="Times New Roman;serif"/>
          <w:b w:val="false"/>
          <w:color w:val="000000"/>
          <w:sz w:val="24"/>
          <w:u w:val="single"/>
        </w:rPr>
        <w:t xml:space="preserve">Exhibit </w:t>
      </w:r>
      <w:r>
        <w:rPr>
          <w:rFonts w:ascii="Times New Roman;serif" w:hAnsi="Times New Roman;serif"/>
          <w:b w:val="false"/>
          <w:color w:val="000000"/>
          <w:sz w:val="24"/>
        </w:rPr>
        <w:t xml:space="preserve">B, subject to Participant’s continued employment with the Company and its affiliates through the applicable date, the Time-Based Vesting Condition shall be satisfied as to (i) Tranche 1 on the six (6)-month anniversary of the Vesting Commencement Date; (ii) Tranche 2 in four substantially equal installments starting on the date that is three (3) months after the six (6)-month anniversary of the Vesting Commencement Date and continuing on each date that is three (3) months thereafter; (iii) Tranche 3 in four substantially equal installments starting on the date that is three (3) months after the eighteen (18)-month anniversary of the Vesting Commencement Date and continuing on each date that is three (3) months thereafter; (iv) Tranches 4 and 5 in four substantially equal installments starting on the date that is three (3) months after the two and one-half (2.5) year anniversary of the Vesting Commencement Date and continuing on each date that is three (3) months thereafter; (v) Tranche 6 in four substantially equal installments starting on the date that is three (3) months after the three and one-half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(3.5) year anniversary of the Vesting Commencement Date and continuing on each date that is three (3) months thereafter; and (vi) Tranche 7 in four substantially equal installments starting on the date that is three (3) months after the fourth (4</w:t>
      </w:r>
      <w:r>
        <w:rPr>
          <w:rFonts w:ascii="Times New Roman;serif" w:hAnsi="Times New Roman;serif"/>
          <w:b w:val="false"/>
          <w:color w:val="000000"/>
          <w:sz w:val="16"/>
        </w:rPr>
        <w:t>th</w:t>
      </w:r>
      <w:r>
        <w:rPr>
          <w:rFonts w:ascii="Times New Roman;serif" w:hAnsi="Times New Roman;serif"/>
          <w:b w:val="false"/>
          <w:color w:val="000000"/>
          <w:sz w:val="24"/>
        </w:rPr>
        <w:t xml:space="preserve">) anniversary of the Vesting Commencement Date and continuing on each date that is three (3) months thereafter, such that the Time-Based Vesting Condition shall be satisfied with respect to one hundred percent (100%) of the Award on the fifth (5th) anniversary of the Vesting Commencement Date. If Participant’s employment with the Company and its affiliates terminates for any reason prior to the fifth (5th) anniversary of the Vesting Commencement Date, then, except as set forth in Section 5 and Section 6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any PSUs that have not satisfied the Time-Based Vesting Condition pursuant to this Section 3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PSUs subject to the Award will vest and become nonforfeitable on the first date during the Performance Period upon which both of the Time-Based Vesting Condition and Performance-Based Vesting Condition are achieved in accordance with this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76"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that Participant experiences a termination of employment due to Participant’s death or Disability then, notwithstanding anything herein to the contrary, any Tranche that, as of the Termination Date, has met the Performance-Based Vesting Condition (other than by reason of a Change in Control) but has not met the Time-Based Vesting Condition will be deemed to have met the Time-Based Vesting Condition and will automatically vest as of the Termination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that Participant experiences a Non-CIC Qualifying Termination, then, notwithstanding anything herein to the contrary, (i) for purposes of determining whether any Time-Based Vesting Condition has been satisfied, Participant will be deemed to have remained employed through the Tail Period and (ii) the Tranche with the lowest associated Stock Price Hurdle of the Tranches for which the Performance-Based Vesting Condition has not been met as of the Termination Date (if any) will remain outstanding and eligible to satisfy the Performance-Based Vesting Condition during the Tail Period. After the end of the Tail Period, the Committee will determine whether any additional PSUs have become vested by virtue of satisfying both the Performance-Based Vesting Condition and the Time-Based Vesting Condition and any such PSUs will vest as of the last day of the Tail Period. </w:t>
      </w:r>
    </w:p>
    <w:p>
      <w:pPr>
        <w:pStyle w:val="TextBody"/>
        <w:bidi w:val="0"/>
        <w:spacing w:lineRule="auto" w:line="276"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Participant’s termination of employment, any PSUs that do not become vested pursuant to Section 5(a) or 5(b), or pursuant to Section 6 (if applicable), will be forfeited and cancelled for no consideration in respect thereof.</w:t>
      </w:r>
    </w:p>
    <w:p>
      <w:pPr>
        <w:pStyle w:val="TextBody"/>
        <w:bidi w:val="0"/>
        <w:spacing w:lineRule="auto" w:line="276"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Upon the Change in Control Date, any Tranche for which the Performance-Based Vesting Condition has not been achieved prior to the Change in Control Date and that corresponds to a Stock Price Hurdle that is less than or equal to the Change in Control Price will be deemed to have satisfied the Performance-Based Vesting Condition and will remain outstanding and eligible to vest, subject to achievement of the Time-Based Vesting Condition. Any Tranche for which the Performance-Based Vesting Condition has not been achieved as of the Change in Control Date as described in this Section 6 will be forfeited and cancelled for no consideration in respect thereof.</w:t>
      </w:r>
    </w:p>
    <w:p>
      <w:pPr>
        <w:pStyle w:val="TextBody"/>
        <w:bidi w:val="0"/>
        <w:spacing w:lineRule="auto" w:line="276"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Participant experiences a CIC Qualifying Termination, then (i) as of the later of the Change in Control Date and the Termination Date, the Time-Based Vesting Condition will be deemed to be satisfied with respect to a number of PSUs equal to (A) the product of (1) the total number of PSUs granted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51155"/>
                <wp:effectExtent l="0" t="0" r="0" b="0"/>
                <wp:wrapNone/>
                <wp:docPr id="265" name="Frame2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B-2</w:t>
                      </w:r>
                    </w:p>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Award and (2) the CIC Performance Factor, minus (B) the sum of (x) the number of PSUs that have already vested prior to the Qualifying Termination and (y) the number of PSUs that were forfeited and cancelled for no consideration in respect thereof pursuant to Section 6(a) of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provided that if clause (B) is greater than clause (A), then no additional PSUs will vest and (ii) any PSUs that do not become vested pursuant to clause (i) will be forfeited and cancelled for no consideration in respect thereof. </w:t>
      </w:r>
    </w:p>
    <w:p>
      <w:pPr>
        <w:pStyle w:val="TextBody"/>
        <w:bidi w:val="0"/>
        <w:spacing w:lineRule="auto" w:line="276"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Vesting of PSUs upon a Qualifying Termination pursuant to this Exhibit B will in all cases be subject to Participant’s execution and non-revocation of a Release within the applicable time period set forth in the Severance Plan. </w:t>
      </w:r>
    </w:p>
    <w:p>
      <w:pPr>
        <w:pStyle w:val="TextBody"/>
        <w:bidi w:val="0"/>
        <w:spacing w:lineRule="auto" w:line="276"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set forth in Sections 5 and 6 hereof, upon the earlier of the occurrence of (i) the Termination Date, and (ii) the expiration of the Performance Period, each Tranche for which either (or both) of the Performance-Based Vesting Condition or the Time-Based Vesting Condition has not been satisfied will be forfeited and cancelled for no consideration in respect thereof. </w:t>
      </w:r>
    </w:p>
    <w:p>
      <w:pPr>
        <w:pStyle w:val="TextBody"/>
        <w:bidi w:val="0"/>
        <w:spacing w:lineRule="auto" w:line="276"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Dividend Equivalents</w:t>
      </w:r>
      <w:r>
        <w:rPr>
          <w:rFonts w:ascii="Times New Roman;serif" w:hAnsi="Times New Roman;serif"/>
          <w:b w:val="false"/>
          <w:color w:val="000000"/>
          <w:sz w:val="24"/>
        </w:rPr>
        <w:t>. Each Tranche that has met the Performance-Based Vesting Condition but has not met the Time-Based Vesting Condition will accrue Dividend Equivalents from the date on which the Performance-Based Vesting Condition is met until the earlier of (a) the date on which the Time-Based Vesting Condition is met and (b) the date on which the Tranche is forfeited. Dividend Equivalents will be subject to the same Time-Based Vesting Conditions and the same settlement terms as the Tranche with respect to which they are credited.</w:t>
      </w:r>
    </w:p>
    <w:p>
      <w:pPr>
        <w:pStyle w:val="TextBody"/>
        <w:bidi w:val="0"/>
        <w:spacing w:lineRule="auto" w:line="276"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the Agreement (including this </w:t>
      </w:r>
      <w:r>
        <w:rPr>
          <w:rFonts w:ascii="Times New Roman;serif" w:hAnsi="Times New Roman;serif"/>
          <w:b w:val="false"/>
          <w:color w:val="000000"/>
          <w:sz w:val="24"/>
          <w:u w:val="single"/>
        </w:rPr>
        <w:t>Exhibit B</w:t>
      </w:r>
      <w:r>
        <w:rPr>
          <w:rFonts w:ascii="Times New Roman;serif" w:hAnsi="Times New Roman;serif"/>
          <w:b w:val="false"/>
          <w:color w:val="000000"/>
          <w:sz w:val="24"/>
        </w:rPr>
        <w:t>), the following terms when capitalized will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Change in Control Date</w:t>
      </w:r>
      <w:r>
        <w:rPr>
          <w:color w:val="000000"/>
        </w:rPr>
        <w:t xml:space="preserve">” </w:t>
      </w:r>
      <w:r>
        <w:rPr>
          <w:rFonts w:ascii="Times New Roman;serif" w:hAnsi="Times New Roman;serif"/>
          <w:b w:val="false"/>
          <w:color w:val="000000"/>
          <w:sz w:val="24"/>
        </w:rPr>
        <w:t>means the date upon which a Change in Control is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Change in Control Price</w:t>
      </w:r>
      <w:r>
        <w:rPr>
          <w:color w:val="000000"/>
        </w:rPr>
        <w:t xml:space="preserve">” </w:t>
      </w:r>
      <w:r>
        <w:rPr>
          <w:rFonts w:ascii="Times New Roman;serif" w:hAnsi="Times New Roman;serif"/>
          <w:b w:val="false"/>
          <w:color w:val="000000"/>
          <w:sz w:val="24"/>
        </w:rPr>
        <w:t>means the value of the total amount of consideration payable in respect of each Share in connection with the Change in Control. For this purpose, the value of any non-cash consideration will be determined, prior to the Change in Control Date, by the Committee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i/>
          <w:color w:val="000000"/>
          <w:sz w:val="24"/>
        </w:rPr>
        <w:t>CIC Performance Factor</w:t>
      </w:r>
      <w:r>
        <w:rPr>
          <w:color w:val="000000"/>
        </w:rPr>
        <w:t xml:space="preserve">” </w:t>
      </w:r>
      <w:r>
        <w:rPr>
          <w:rFonts w:ascii="Times New Roman;serif" w:hAnsi="Times New Roman;serif"/>
          <w:b w:val="false"/>
          <w:color w:val="000000"/>
          <w:sz w:val="24"/>
        </w:rPr>
        <w:t>means (i) if the Change in Control Price is equal to or greater than $25.00 but less than $29.00, a fraction, the numerator of which is equal to five (5) and the denominator of which is equal to seven (7), (ii) if the Change in Control Price is equal to or greater than $29.00 but less than $33.00, a fraction, the numerator of which is equal to six (6) and the denominator of which is equal to seven (7) or (iii) if the Change in Control Price is equal to or greater than $33.00, one (1).</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CIC 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Company Stock Price</w:t>
      </w:r>
      <w:r>
        <w:rPr>
          <w:color w:val="000000"/>
        </w:rPr>
        <w:t xml:space="preserve">” </w:t>
      </w:r>
      <w:r>
        <w:rPr>
          <w:rFonts w:ascii="Times New Roman;serif" w:hAnsi="Times New Roman;serif"/>
          <w:b w:val="false"/>
          <w:color w:val="000000"/>
          <w:sz w:val="24"/>
        </w:rPr>
        <w:t xml:space="preserve">means the average closing price of a Share on the Securities Exchange for any consecutive period of thirty (30) Trading Days that both begins and ends during the Performance Period. </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Disability</w:t>
      </w:r>
      <w:r>
        <w:rPr>
          <w:color w:val="000000"/>
        </w:rPr>
        <w:t xml:space="preserve">” </w:t>
      </w:r>
      <w:r>
        <w:rPr>
          <w:rFonts w:ascii="Times New Roman;serif" w:hAnsi="Times New Roman;serif"/>
          <w:b w:val="false"/>
          <w:color w:val="000000"/>
          <w:sz w:val="24"/>
        </w:rPr>
        <w:t>shall have the meaning set forth in the Company’s long-term disability plan, as in effect from time to time (or, if no such plan is then in effect, as such term was most recently defined therein).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Non-CIC</w:t>
      </w:r>
      <w:r>
        <w:rPr>
          <w:color w:val="000000"/>
        </w:rPr>
        <w:t xml:space="preserve"> </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 xml:space="preserve">means the period commencing on the first anniversary of the Vesting Commencement Date and ending on the fifth anniversary of the Vesting Commencement Date.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51155"/>
                <wp:effectExtent l="0" t="0" r="0" b="0"/>
                <wp:wrapNone/>
                <wp:docPr id="266" name="Frame2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Performance-Based Vesting Condition</w:t>
      </w:r>
      <w:r>
        <w:rPr>
          <w:color w:val="000000"/>
        </w:rPr>
        <w:t xml:space="preserve">” </w:t>
      </w:r>
      <w:r>
        <w:rPr>
          <w:rFonts w:ascii="Times New Roman;serif" w:hAnsi="Times New Roman;serif"/>
          <w:b w:val="false"/>
          <w:color w:val="000000"/>
          <w:sz w:val="24"/>
        </w:rPr>
        <w:t>means the performance condition that, together with the Time-Based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Qualifying Termination</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Release</w:t>
      </w:r>
      <w:r>
        <w:rPr>
          <w:color w:val="000000"/>
        </w:rPr>
        <w:t xml:space="preserve">” </w:t>
      </w:r>
      <w:r>
        <w:rPr>
          <w:rFonts w:ascii="Times New Roman;serif" w:hAnsi="Times New Roman;serif"/>
          <w:b w:val="false"/>
          <w:color w:val="000000"/>
          <w:sz w:val="24"/>
        </w:rPr>
        <w:t>has the meaning set forth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Securities Exchange</w:t>
      </w:r>
      <w:r>
        <w:rPr>
          <w:color w:val="000000"/>
        </w:rPr>
        <w:t xml:space="preserve">” </w:t>
      </w:r>
      <w:r>
        <w:rPr>
          <w:rFonts w:ascii="Times New Roman;serif" w:hAnsi="Times New Roman;serif"/>
          <w:b w:val="false"/>
          <w:color w:val="000000"/>
          <w:sz w:val="24"/>
        </w:rPr>
        <w:t>means the Nasdaq Global Select Market or such other established securities exchange, national market system, or other trading platform, on which Shares primarily are listed and regularly trade.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Severance Plan</w:t>
      </w:r>
      <w:r>
        <w:rPr>
          <w:color w:val="000000"/>
        </w:rPr>
        <w:t xml:space="preserve">” </w:t>
      </w:r>
      <w:r>
        <w:rPr>
          <w:rFonts w:ascii="Times New Roman;serif" w:hAnsi="Times New Roman;serif"/>
          <w:b w:val="false"/>
          <w:color w:val="000000"/>
          <w:sz w:val="24"/>
        </w:rPr>
        <w:t>means the Opendoor Technologies Inc. Executive Severance Plan,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Tail Period</w:t>
      </w:r>
      <w:r>
        <w:rPr>
          <w:color w:val="000000"/>
        </w:rPr>
        <w:t xml:space="preserve">” </w:t>
      </w:r>
      <w:r>
        <w:rPr>
          <w:rFonts w:ascii="Times New Roman;serif" w:hAnsi="Times New Roman;serif"/>
          <w:b w:val="false"/>
          <w:color w:val="000000"/>
          <w:sz w:val="24"/>
        </w:rPr>
        <w:t>means, if Participant experiences a Qualifying Termination, the consecutive period of sixty (60) Trading Days beginning on the first Trading Day immediately following the Termination Date (or such shorter period of consecutive Trading Days that commences on the first Trading Day immediately following the Termination Date and ends on the last day of the Performance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shall mean the last day of Participant’s employment with the Company or Subsidiary, provided that in the case of termination of employment by resignation by Participant, such date shall not be earlier than the date notice of resignation was given; or in the event that Participant’s death or Disability occurs prior to such date, the date of Participant’s death or Disability.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Time-Based Vesting Condition</w:t>
      </w:r>
      <w:r>
        <w:rPr>
          <w:color w:val="000000"/>
        </w:rPr>
        <w:t xml:space="preserve">” </w:t>
      </w:r>
      <w:r>
        <w:rPr>
          <w:rFonts w:ascii="Times New Roman;serif" w:hAnsi="Times New Roman;serif"/>
          <w:b w:val="false"/>
          <w:color w:val="000000"/>
          <w:sz w:val="24"/>
        </w:rPr>
        <w:t>means the service condition that, together with the Performance-Based Vesting Condition, must be satisfied in order for the PSUs to vest.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means a full daily trading session (9:30am Eastern Time to 4:00pm Eastern Time) during which Shares are traded on the Securities Exchange.</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51155"/>
                <wp:effectExtent l="0" t="0" r="0" b="0"/>
                <wp:wrapNone/>
                <wp:docPr id="267" name="Frame2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 B B-4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C</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OPENDOOR LABS INC.</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EMPLOYEE CONFIDENTIAL INFORMATION AND INVENTION ASSIGNMENT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96" w:before="0" w:after="240"/>
        <w:ind w:left="0" w:right="0" w:firstLine="1080"/>
        <w:jc w:val="center"/>
        <w:rPr>
          <w:rFonts w:ascii="Times New Roman;serif" w:hAnsi="Times New Roman;serif"/>
          <w:b/>
          <w:color w:val="000000"/>
          <w:sz w:val="24"/>
        </w:rPr>
      </w:pPr>
      <w:r>
        <w:rPr>
          <w:rFonts w:ascii="Times New Roman;serif" w:hAnsi="Times New Roman;serif"/>
          <w:b/>
          <w:color w:val="000000"/>
          <w:sz w:val="24"/>
        </w:rPr>
        <w:t>Attachment D</w:t>
      </w:r>
    </w:p>
    <w:p>
      <w:pPr>
        <w:pStyle w:val="TextBody"/>
        <w:bidi w:val="0"/>
        <w:spacing w:lineRule="auto" w:line="696" w:before="0" w:after="240"/>
        <w:ind w:left="0" w:right="0" w:firstLine="1080"/>
        <w:jc w:val="center"/>
        <w:rPr>
          <w:rFonts w:ascii="Times New Roman;serif" w:hAnsi="Times New Roman;serif"/>
          <w:b/>
          <w:color w:val="000000"/>
          <w:sz w:val="22"/>
        </w:rPr>
      </w:pPr>
      <w:r>
        <w:rPr>
          <w:rFonts w:ascii="Times New Roman;serif" w:hAnsi="Times New Roman;serif"/>
          <w:b/>
          <w:color w:val="000000"/>
          <w:sz w:val="22"/>
        </w:rPr>
        <w:t>NOTICE OF PARTICIPATION</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222222"/>
          <w:sz w:val="22"/>
        </w:rPr>
      </w:pPr>
      <w:r>
        <w:rPr>
          <w:rFonts w:ascii="Times New Roman;serif" w:hAnsi="Times New Roman;serif"/>
          <w:b/>
          <w:color w:val="222222"/>
          <w:sz w:val="22"/>
        </w:rPr>
        <w:t>Exhibit 19.1</w:t>
      </w:r>
    </w:p>
    <w:p>
      <w:pPr>
        <w:pStyle w:val="TextBody"/>
        <w:bidi w:val="0"/>
        <w:spacing w:lineRule="auto" w:line="288" w:before="0" w:after="240"/>
        <w:jc w:val="center"/>
        <w:rPr>
          <w:rFonts w:ascii="Times New Roman;serif" w:hAnsi="Times New Roman;serif"/>
          <w:b/>
          <w:color w:val="222222"/>
          <w:sz w:val="22"/>
        </w:rPr>
      </w:pPr>
      <w:r>
        <w:rPr>
          <w:rFonts w:ascii="Times New Roman;serif" w:hAnsi="Times New Roman;serif"/>
          <w:b/>
          <w:color w:val="222222"/>
          <w:sz w:val="22"/>
        </w:rPr>
        <w:t>Opendoor Technologies Inc.</w:t>
      </w:r>
    </w:p>
    <w:p>
      <w:pPr>
        <w:pStyle w:val="TextBody"/>
        <w:bidi w:val="0"/>
        <w:spacing w:lineRule="auto" w:line="288" w:before="0" w:after="240"/>
        <w:jc w:val="center"/>
        <w:rPr>
          <w:rFonts w:ascii="Times New Roman;serif" w:hAnsi="Times New Roman;serif"/>
          <w:b/>
          <w:color w:val="222222"/>
          <w:sz w:val="22"/>
        </w:rPr>
      </w:pPr>
      <w:r>
        <w:rPr>
          <w:rFonts w:ascii="Times New Roman;serif" w:hAnsi="Times New Roman;serif"/>
          <w:b/>
          <w:color w:val="222222"/>
          <w:sz w:val="22"/>
        </w:rPr>
        <w:t>Insider Trading and Trading Window Policy</w:t>
      </w:r>
    </w:p>
    <w:p>
      <w:pPr>
        <w:pStyle w:val="TextBody"/>
        <w:bidi w:val="0"/>
        <w:spacing w:lineRule="auto" w:line="288" w:before="0" w:after="0"/>
        <w:jc w:val="center"/>
        <w:rPr>
          <w:rFonts w:ascii="Times New Roman;serif" w:hAnsi="Times New Roman;serif"/>
          <w:b/>
          <w:color w:val="222222"/>
          <w:sz w:val="22"/>
        </w:rPr>
      </w:pPr>
      <w:r>
        <w:rPr>
          <w:rFonts w:ascii="Times New Roman;serif" w:hAnsi="Times New Roman;serif"/>
          <w:b/>
          <w:color w:val="222222"/>
          <w:sz w:val="22"/>
        </w:rPr>
        <w:t>November 19,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720"/>
        <w:jc w:val="both"/>
        <w:rPr/>
      </w:pPr>
      <w:r>
        <w:rPr>
          <w:rFonts w:ascii="Times New Roman;serif" w:hAnsi="Times New Roman;serif"/>
          <w:b/>
          <w:color w:val="000000"/>
          <w:sz w:val="22"/>
        </w:rPr>
        <w:t>1.</w:t>
      </w:r>
      <w:r>
        <w:rPr>
          <w:rFonts w:ascii="Times New Roman;serif" w:hAnsi="Times New Roman;serif"/>
          <w:b/>
          <w:color w:val="222222"/>
          <w:sz w:val="22"/>
        </w:rPr>
        <w:t>PERSONS SUBJECT TO THIS POLICY</w:t>
      </w:r>
    </w:p>
    <w:p>
      <w:pPr>
        <w:pStyle w:val="TextBody"/>
        <w:bidi w:val="0"/>
        <w:spacing w:lineRule="auto" w:line="288" w:before="0" w:after="180"/>
        <w:jc w:val="both"/>
        <w:rPr/>
      </w:pPr>
      <w:r>
        <w:rPr>
          <w:rFonts w:ascii="Times New Roman;serif" w:hAnsi="Times New Roman;serif"/>
          <w:b w:val="false"/>
          <w:color w:val="222222"/>
          <w:sz w:val="22"/>
        </w:rPr>
        <w:t>This policy applies to all directors, executive officers, and other employees of Opendoor Technologies Inc. and its subsidiaries (collectively, “</w:t>
      </w:r>
      <w:r>
        <w:rPr>
          <w:rFonts w:ascii="Times New Roman;serif" w:hAnsi="Times New Roman;serif"/>
          <w:b/>
          <w:i/>
          <w:color w:val="222222"/>
          <w:sz w:val="22"/>
        </w:rPr>
        <w:t>Opendoor</w:t>
      </w:r>
      <w:r>
        <w:rPr>
          <w:color w:val="222222"/>
        </w:rPr>
        <w:t>”</w:t>
      </w:r>
      <w:r>
        <w:rPr>
          <w:rFonts w:ascii="Times New Roman;serif" w:hAnsi="Times New Roman;serif"/>
          <w:b w:val="false"/>
          <w:color w:val="222222"/>
          <w:sz w:val="22"/>
        </w:rPr>
        <w:t xml:space="preserve">), and individuals who act as consultants or contractors to Opendoor. Individuals subject to this policy are responsible for ensuring that members of their household, and those who are subject to their influence or control, also comply with this policy. This policy also applies to any entities controlled by individuals subject to the policy, including any corporations, limited liability companies, partnerships or trusts, and transactions by these entities should be treated for the purposes of this policy and applicable securities laws as if they were for the individual’s own account. </w:t>
      </w:r>
    </w:p>
    <w:p>
      <w:pPr>
        <w:pStyle w:val="TextBody"/>
        <w:bidi w:val="0"/>
        <w:spacing w:lineRule="auto" w:line="288" w:before="0" w:after="180"/>
        <w:ind w:left="0" w:right="0" w:hanging="720"/>
        <w:jc w:val="both"/>
        <w:rPr/>
      </w:pPr>
      <w:r>
        <w:rPr>
          <w:rFonts w:ascii="Times New Roman;serif" w:hAnsi="Times New Roman;serif"/>
          <w:b/>
          <w:color w:val="000000"/>
          <w:sz w:val="22"/>
        </w:rPr>
        <w:t>2.</w:t>
      </w:r>
      <w:r>
        <w:rPr>
          <w:rFonts w:ascii="Times New Roman;serif" w:hAnsi="Times New Roman;serif"/>
          <w:b/>
          <w:color w:val="222222"/>
          <w:sz w:val="22"/>
        </w:rPr>
        <w:t xml:space="preserve">POLICY AGAINST INSIDER TRADING </w:t>
      </w:r>
    </w:p>
    <w:p>
      <w:pPr>
        <w:pStyle w:val="TextBody"/>
        <w:bidi w:val="0"/>
        <w:spacing w:lineRule="auto" w:line="288" w:before="0" w:after="180"/>
        <w:ind w:left="0" w:right="0" w:firstLine="720"/>
        <w:jc w:val="both"/>
        <w:rPr/>
      </w:pPr>
      <w:r>
        <w:rPr>
          <w:rFonts w:ascii="Times New Roman;serif" w:hAnsi="Times New Roman;serif"/>
          <w:b/>
          <w:color w:val="000000"/>
          <w:sz w:val="22"/>
        </w:rPr>
        <w:t>2.1</w:t>
      </w:r>
      <w:r>
        <w:rPr>
          <w:rFonts w:ascii="Times New Roman;serif" w:hAnsi="Times New Roman;serif"/>
          <w:b/>
          <w:color w:val="222222"/>
          <w:sz w:val="22"/>
        </w:rPr>
        <w:t>General Prohibition</w:t>
      </w:r>
      <w:r>
        <w:rPr>
          <w:rFonts w:ascii="Times New Roman;serif" w:hAnsi="Times New Roman;serif"/>
          <w:b w:val="false"/>
          <w:color w:val="222222"/>
          <w:sz w:val="22"/>
        </w:rPr>
        <w:t>.</w:t>
      </w:r>
      <w:r>
        <w:rPr>
          <w:color w:val="222222"/>
        </w:rPr>
        <w:t xml:space="preserve"> </w:t>
      </w:r>
      <w:r>
        <w:rPr>
          <w:rFonts w:ascii="Times New Roman;serif" w:hAnsi="Times New Roman;serif"/>
          <w:b w:val="false"/>
          <w:color w:val="222222"/>
          <w:sz w:val="22"/>
        </w:rPr>
        <w:t>During the course of your employment, directorship, consultancy or engagement with Opendoor, as applicable, you may receive “material nonpublic information” about Opendoor or about other companies with which Opendoor has business dealings. Because of your access to this material nonpublic information, you may be in a position to profit financially by buying or selling, or in some other way dealing, in Opendoor’s securities, or securities of another company, or disclosing such information to a third party who trades on the basis of such information (a “</w:t>
      </w:r>
      <w:r>
        <w:rPr>
          <w:rFonts w:ascii="Times New Roman;serif" w:hAnsi="Times New Roman;serif"/>
          <w:b/>
          <w:i/>
          <w:color w:val="222222"/>
          <w:sz w:val="22"/>
        </w:rPr>
        <w:t>tippee</w:t>
      </w:r>
      <w:r>
        <w:rPr>
          <w:color w:val="222222"/>
        </w:rPr>
        <w:t>”</w:t>
      </w:r>
      <w:r>
        <w:rPr>
          <w:rFonts w:ascii="Times New Roman;serif" w:hAnsi="Times New Roman;serif"/>
          <w:b w:val="false"/>
          <w:color w:val="222222"/>
          <w:sz w:val="22"/>
        </w:rPr>
        <w:t>). You must comply with the federal and state securities laws and with Opendoor’s policies. It is illegal and a violation of this policy for you to buy or sell Opendoor’s securities, or the securities of companies working with Opendoor (such as through a major contract, a joint venture, or business combination), on the basis of material nonpublic information, if such information is obtained in the course of your employment or service with the Company. Further, it is a violation of this policy for you to buy or sell securities of Opendoor’s competitors on the basis of material nonpublic information about Opendoor or any other company. It is also illegal and a violation of this policy for you to pass such information on to others who use it to buy or sell Opendoor’s securities. In addition, it is a violation of this policy for you to directly or indirectly communicate material nonpublic information to anyone outside the Company (except in accordance with the Company’s policies regarding confidential information) or to anyone within the Company other than on a “need-to-know” basis. It is also Opendoor’s policy that Opendoor will not engage in transactions in Opendoor securities while aware of material nonpublic information relating to Opendoor or Opendoor securities. In all cases, the responsibility for determining whether you are in possession of material nonpublic information rests with you, and any action on the part of Opendoor, Opendoor’s Head of Legal or, if no individual holds such title, then such other role that performs the functions and responsibilities of the senior most internal legal counsel (the “</w:t>
      </w:r>
      <w:r>
        <w:rPr>
          <w:rFonts w:ascii="Times New Roman;serif" w:hAnsi="Times New Roman;serif"/>
          <w:b/>
          <w:i/>
          <w:color w:val="222222"/>
          <w:sz w:val="22"/>
        </w:rPr>
        <w:t>Head of Legal</w:t>
      </w:r>
      <w:r>
        <w:rPr>
          <w:color w:val="222222"/>
        </w:rPr>
        <w:t>”</w:t>
      </w:r>
      <w:r>
        <w:rPr>
          <w:rFonts w:ascii="Times New Roman;serif" w:hAnsi="Times New Roman;serif"/>
          <w:b w:val="false"/>
          <w:color w:val="222222"/>
          <w:sz w:val="22"/>
        </w:rPr>
        <w:t xml:space="preserve">), or any other employee or director pursuant to this Policy (or otherwise) does not in any way constitute legal advice or insulate an individual from liability under applicable securities laws. </w:t>
      </w:r>
    </w:p>
    <w:p>
      <w:pPr>
        <w:pStyle w:val="TextBody"/>
        <w:bidi w:val="0"/>
        <w:spacing w:lineRule="auto" w:line="288" w:before="0" w:after="180"/>
        <w:ind w:left="0" w:right="0" w:firstLine="720"/>
        <w:jc w:val="both"/>
        <w:rPr/>
      </w:pPr>
      <w:r>
        <w:rPr>
          <w:rFonts w:ascii="Times New Roman;serif" w:hAnsi="Times New Roman;serif"/>
          <w:b/>
          <w:color w:val="000000"/>
          <w:sz w:val="22"/>
        </w:rPr>
        <w:t>2.2</w:t>
      </w:r>
      <w:r>
        <w:rPr>
          <w:color w:val="222222"/>
        </w:rPr>
        <w:t>“</w:t>
      </w:r>
      <w:r>
        <w:rPr>
          <w:rFonts w:ascii="Times New Roman;serif" w:hAnsi="Times New Roman;serif"/>
          <w:b/>
          <w:color w:val="222222"/>
          <w:sz w:val="22"/>
        </w:rPr>
        <w:t>Material Nonpublic Information</w:t>
      </w:r>
      <w:r>
        <w:rPr>
          <w:rFonts w:ascii="Times New Roman;serif" w:hAnsi="Times New Roman;serif"/>
          <w:b w:val="false"/>
          <w:color w:val="222222"/>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2.2.1</w:t>
      </w:r>
      <w:r>
        <w:rPr>
          <w:color w:val="222222"/>
        </w:rPr>
        <w:t>“</w:t>
      </w:r>
      <w:r>
        <w:rPr>
          <w:rFonts w:ascii="Times New Roman;serif" w:hAnsi="Times New Roman;serif"/>
          <w:b/>
          <w:color w:val="222222"/>
          <w:sz w:val="22"/>
        </w:rPr>
        <w:t>Material.”</w:t>
      </w:r>
      <w:r>
        <w:rPr>
          <w:color w:val="222222"/>
        </w:rPr>
        <w:t xml:space="preserve"> </w:t>
      </w:r>
      <w:r>
        <w:rPr>
          <w:rFonts w:ascii="Times New Roman;serif" w:hAnsi="Times New Roman;serif"/>
          <w:b w:val="false"/>
          <w:color w:val="222222"/>
          <w:sz w:val="22"/>
        </w:rPr>
        <w:t xml:space="preserve">As a practical matter, it is sometimes difficult to determine whether you possess material nonpublic information. The key to determining whether nonpublic information you possess about Opendoor is material nonpublic information is whether dissemination of the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70" name="Frame2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222222"/>
          <w:sz w:val="22"/>
        </w:rPr>
      </w:pPr>
      <w:r>
        <w:rPr>
          <w:rFonts w:ascii="Times New Roman;serif" w:hAnsi="Times New Roman;serif"/>
          <w:b w:val="false"/>
          <w:color w:val="222222"/>
          <w:sz w:val="22"/>
        </w:rPr>
        <w:t xml:space="preserve">would likely affect the market price of Opendoor’s stock or would likely be considered important, or “material,” by a reasonable investor who is considering trading in Opendoor’s stock. Certainly, if the information makes you want to trade, it would probably have the same effect on others. Remember, both positive and negative information can be material. Also, information that something is likely to happen in the future – or even just that it may happen – could be deemed material. If you possess material nonpublic information, you may not trade in Opendoor’s stock, advise anyone else to do so or communicate the information to anyone else until you know that the information has been publicly disseminated. This means that in some circumstances, you may have to forgo a proposed transaction in Opendoor’s securities even if you planned to execute the transaction prior to learning of the material nonpublic information and even though you believe you may suffer an economic loss or sacrifice an anticipated profit by waiting. </w:t>
      </w:r>
    </w:p>
    <w:p>
      <w:pPr>
        <w:pStyle w:val="TextBody"/>
        <w:bidi w:val="0"/>
        <w:spacing w:lineRule="auto" w:line="288" w:before="0" w:after="240"/>
        <w:ind w:left="0" w:right="0" w:firstLine="1440"/>
        <w:jc w:val="both"/>
        <w:rPr/>
      </w:pPr>
      <w:r>
        <w:rPr>
          <w:rFonts w:ascii="Times New Roman;serif" w:hAnsi="Times New Roman;serif"/>
          <w:b w:val="false"/>
          <w:color w:val="000000"/>
          <w:sz w:val="22"/>
        </w:rPr>
        <w:t>2.2.2</w:t>
      </w:r>
      <w:r>
        <w:rPr>
          <w:color w:val="222222"/>
        </w:rPr>
        <w:t>“</w:t>
      </w:r>
      <w:r>
        <w:rPr>
          <w:rFonts w:ascii="Times New Roman;serif" w:hAnsi="Times New Roman;serif"/>
          <w:b/>
          <w:color w:val="222222"/>
          <w:sz w:val="22"/>
        </w:rPr>
        <w:t>Nonpublic</w:t>
      </w:r>
      <w:r>
        <w:rPr>
          <w:rFonts w:ascii="Times New Roman;serif" w:hAnsi="Times New Roman;serif"/>
          <w:b w:val="false"/>
          <w:color w:val="222222"/>
          <w:sz w:val="22"/>
        </w:rPr>
        <w:t>.</w:t>
      </w:r>
      <w:r>
        <w:rPr>
          <w:color w:val="222222"/>
        </w:rPr>
        <w:t xml:space="preserve">” </w:t>
      </w:r>
      <w:r>
        <w:rPr>
          <w:rFonts w:ascii="Times New Roman;serif" w:hAnsi="Times New Roman;serif"/>
          <w:b w:val="false"/>
          <w:color w:val="222222"/>
          <w:sz w:val="22"/>
        </w:rPr>
        <w:t>Nonpublic information is information that has not been announced publicly, such as by press release, conference call, filing with the U.S. Securities and Exchange Commission (“SEC”), through one of the social media accounts or websites designated as a Regulation FD compliant channel in an Annual Report on Form 10-K or a Current Report on Form 8-K, or similar means of public dissemination reasonably designed to provide broad, non-exclusionary distribution of the information. 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 Although by no means an all-inclusive list, information about the following items may be considered to be material nonpublic information until it is publicly disseminated:</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financial results or forecasts for a given fiscal period, including (but not limited to): revenue, contribution profit, contribution margin, adjusted EBITDA, adjusted net income/loss, and aggregate home purchases and resales;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222222"/>
          <w:sz w:val="22"/>
        </w:rPr>
        <w:t>important business developments like significant transactions and new (or changes to existing) partnerships or joint ventures;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222222"/>
          <w:sz w:val="22"/>
        </w:rPr>
        <w:t>significant changes to major business lines or products (i.e., launching a new major product, entering a new large market, or exiting or winding down a large market or product);</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acquisitions or sales of companies, business units or other assets;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high-level strategy regarding pricing changes or policies on an aggregate basis;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pending public or private sales of debt or equity securities;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possible tender offers;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changes to senior management or directors or control of Opendoor;</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declaration of stock splits, dividends or changes in dividend policy and repurchase plans;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 xml:space="preserve">major contract awards or cancellations or other contracts with vendors or other developments regarding licensors, collaborators, customers or suppliers; </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significant write-offs or material impairments;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significant litigation proceedings, filings or results;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incidents involving cybersecurity and data protection;</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regulatory and other government investigations, settlements or developments;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cybersecurity or data security incidents;</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defaults on borrowings; or</w:t>
      </w:r>
    </w:p>
    <w:p>
      <w:pPr>
        <w:pStyle w:val="TextBody"/>
        <w:bidi w:val="0"/>
        <w:spacing w:lineRule="auto" w:line="288" w:before="0" w:after="0"/>
        <w:ind w:left="0" w:right="0" w:hanging="360"/>
        <w:jc w:val="both"/>
        <w:rPr/>
      </w:pPr>
      <w:r>
        <w:rPr>
          <w:color w:val="222222"/>
        </w:rPr>
        <w:t>●</w:t>
      </w:r>
      <w:r>
        <w:rPr>
          <w:rFonts w:ascii="Times New Roman;serif" w:hAnsi="Times New Roman;serif"/>
          <w:b w:val="false"/>
          <w:color w:val="222222"/>
          <w:sz w:val="22"/>
        </w:rPr>
        <w:t>impending bankruptcy or receivership.</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71" name="Frame2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2.3</w:t>
      </w:r>
      <w:r>
        <w:rPr>
          <w:rFonts w:ascii="Times New Roman;serif" w:hAnsi="Times New Roman;serif"/>
          <w:b/>
          <w:color w:val="222222"/>
          <w:sz w:val="22"/>
        </w:rPr>
        <w:t>Other Conduct Prohibited by This Policy</w:t>
      </w:r>
      <w:r>
        <w:rPr>
          <w:rFonts w:ascii="Times New Roman;serif" w:hAnsi="Times New Roman;serif"/>
          <w:b w:val="false"/>
          <w:color w:val="222222"/>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2.3.1</w:t>
      </w:r>
      <w:r>
        <w:rPr>
          <w:rFonts w:ascii="Times New Roman;serif" w:hAnsi="Times New Roman;serif"/>
          <w:b/>
          <w:color w:val="222222"/>
          <w:sz w:val="22"/>
        </w:rPr>
        <w:t xml:space="preserve">Tipping. </w:t>
      </w:r>
      <w:r>
        <w:rPr>
          <w:rFonts w:ascii="Times New Roman;serif" w:hAnsi="Times New Roman;serif"/>
          <w:b w:val="false"/>
          <w:color w:val="222222"/>
          <w:sz w:val="22"/>
        </w:rPr>
        <w:t xml:space="preserve">Tipping occurs when you share material nonpublic information with others, who trade on the basis of this information. Use of material nonpublic information by someone for personal gain, or to pass on, or “tip,” the material nonpublic information to someone who uses it for personal gain, is illegal, regardless of the quantity of shares, and is therefore prohibited. Tipping may include conversations at social or business gatherings. It does not matter if you share the material nonpublic information inadvertently. Further, you may never recommend to another person that they buy, hold or sell Opendoor’s securities. You can be held liable both for your own transactions and for transactions effected by a tippee, or even a tippee of a tippee.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2.3.2</w:t>
      </w:r>
      <w:r>
        <w:rPr>
          <w:rFonts w:ascii="Times New Roman;serif" w:hAnsi="Times New Roman;serif"/>
          <w:b/>
          <w:color w:val="222222"/>
          <w:sz w:val="22"/>
        </w:rPr>
        <w:t>Discussions with Persons Outside Opendoor.</w:t>
      </w:r>
      <w:r>
        <w:rPr>
          <w:color w:val="222222"/>
        </w:rPr>
        <w:t xml:space="preserve"> </w:t>
      </w:r>
      <w:r>
        <w:rPr>
          <w:rFonts w:ascii="Times New Roman;serif" w:hAnsi="Times New Roman;serif"/>
          <w:b w:val="false"/>
          <w:color w:val="222222"/>
          <w:sz w:val="22"/>
        </w:rPr>
        <w:t>You may not discuss material nonpublic information about Opendoor with anyone outside Opendoor. This prohibition covers your communications with spouses, family members, friends, business associates or persons with whom Opendoor is doing business (except to the extent that such persons are covered by a non-disclosure agreement (NDA) and the discussion is necessary to accomplish a business purpose of Opendoor). Further, you may only engage in discussion of Opendoor through an online forum in accordance with the social media guidelines as delineated in Opendoor’s Code of Business Conduct and Ethics. Under no circumstances may you share material nonpublic information about Opendoor in any online forum, unless doing so is part of your job responsibilities and you have explicit authorization from the Disclosure Committee of the Board of Directors.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2.3.3</w:t>
      </w:r>
      <w:r>
        <w:rPr>
          <w:rFonts w:ascii="Times New Roman;serif" w:hAnsi="Times New Roman;serif"/>
          <w:b/>
          <w:color w:val="222222"/>
          <w:sz w:val="22"/>
        </w:rPr>
        <w:t>Trading in Derivative Securities of Opendoor.</w:t>
      </w:r>
      <w:r>
        <w:rPr>
          <w:color w:val="222222"/>
        </w:rPr>
        <w:t xml:space="preserve"> </w:t>
      </w:r>
      <w:r>
        <w:rPr>
          <w:rFonts w:ascii="Times New Roman;serif" w:hAnsi="Times New Roman;serif"/>
          <w:b w:val="false"/>
          <w:color w:val="222222"/>
          <w:sz w:val="22"/>
        </w:rPr>
        <w:t>You may not trade derivative securities of Opendoor at any time. Derivative securities are securities other than common stock that are speculative in nature because they permit a person to leverage their investment using a relatively small amount of money. Examples of derivative securities include (but are not limited to) “put options” and “call options.” These are different from employee stock options.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2.3.4</w:t>
      </w:r>
      <w:r>
        <w:rPr>
          <w:rFonts w:ascii="Times New Roman;serif" w:hAnsi="Times New Roman;serif"/>
          <w:b/>
          <w:color w:val="222222"/>
          <w:sz w:val="22"/>
        </w:rPr>
        <w:t xml:space="preserve">Short Selling of Opendoor Securities. </w:t>
      </w:r>
      <w:r>
        <w:rPr>
          <w:rFonts w:ascii="Times New Roman;serif" w:hAnsi="Times New Roman;serif"/>
          <w:b w:val="false"/>
          <w:color w:val="222222"/>
          <w:sz w:val="22"/>
        </w:rPr>
        <w:t>You may not engage in short selling of Opendoor’s securities or purchase Opendoor’s securities on margin or hold them in a margin account at any time. Selling short includes transactions in which you borrow stock from a broker, sell it, and eventually buy it back on the market to return the borrowed shares to the broker. Profit is made through the expectation that the stock price will decrease during the period of borrowing. Purchasing Opendoor’s securities on margin is the use of borrowed money from a brokerage firm to purchase Opendoor’s securities. Holding Opendoor’s securities in a margin account includes holding the securities in an account in which the shares can be sold to pay a loan to the brokerage firm.</w:t>
      </w:r>
    </w:p>
    <w:p>
      <w:pPr>
        <w:pStyle w:val="TextBody"/>
        <w:bidi w:val="0"/>
        <w:spacing w:lineRule="auto" w:line="288" w:before="0" w:after="240"/>
        <w:ind w:left="0" w:right="0" w:firstLine="1440"/>
        <w:jc w:val="both"/>
        <w:rPr/>
      </w:pPr>
      <w:r>
        <w:rPr>
          <w:rFonts w:ascii="Times New Roman;serif" w:hAnsi="Times New Roman;serif"/>
          <w:b w:val="false"/>
          <w:color w:val="000000"/>
          <w:sz w:val="22"/>
        </w:rPr>
        <w:t>2.3.5</w:t>
      </w:r>
      <w:r>
        <w:rPr>
          <w:rFonts w:ascii="Times New Roman;serif" w:hAnsi="Times New Roman;serif"/>
          <w:b/>
          <w:color w:val="222222"/>
          <w:sz w:val="22"/>
        </w:rPr>
        <w:t xml:space="preserve">Hedging of Opendoor Securities. </w:t>
      </w:r>
      <w:r>
        <w:rPr>
          <w:rFonts w:ascii="Times New Roman;serif" w:hAnsi="Times New Roman;serif"/>
          <w:b w:val="false"/>
          <w:color w:val="222222"/>
          <w:sz w:val="22"/>
        </w:rPr>
        <w:t>Purchasing financial instruments, such as prepaid variable forward contracts, equity swaps, collars, and exchange funds, or otherwise engaging in transactions that hedge or offset, or are designed to hedge or offset, any decrease in the market value of Opendoor’s equity securities, may cause an officer, director, or employee to no longer have the same objectives as Opendoor’s other stockholders. Therefore, all such transactions involving Opendoor’s equity securities, whether such securities were granted as compensation or are otherwise held, directly or indirectly, are prohibited by this policy, except as otherwise pre-approved by the board of directors in each instance.</w:t>
      </w:r>
    </w:p>
    <w:p>
      <w:pPr>
        <w:pStyle w:val="TextBody"/>
        <w:bidi w:val="0"/>
        <w:spacing w:lineRule="auto" w:line="288" w:before="0" w:after="240"/>
        <w:ind w:left="0" w:right="0" w:firstLine="1440"/>
        <w:jc w:val="both"/>
        <w:rPr/>
      </w:pPr>
      <w:r>
        <w:rPr>
          <w:rFonts w:ascii="Times New Roman;serif" w:hAnsi="Times New Roman;serif"/>
          <w:b w:val="false"/>
          <w:color w:val="000000"/>
          <w:sz w:val="22"/>
        </w:rPr>
        <w:t>2.3.6</w:t>
      </w:r>
      <w:r>
        <w:rPr>
          <w:rFonts w:ascii="Times New Roman;serif" w:hAnsi="Times New Roman;serif"/>
          <w:b/>
          <w:color w:val="222222"/>
          <w:sz w:val="22"/>
        </w:rPr>
        <w:t xml:space="preserve">Pledging. </w:t>
      </w:r>
      <w:r>
        <w:rPr>
          <w:rFonts w:ascii="Times New Roman;serif" w:hAnsi="Times New Roman;serif"/>
          <w:b w:val="false"/>
          <w:color w:val="222222"/>
          <w:sz w:val="22"/>
        </w:rPr>
        <w:t>Pledging of your Opendoor securities to secure a loan is highly discouraged. You may not pledge your Opendoor shares as collateral for a loan without the prior consent of Opendoor’s Head of Legal.</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72" name="Frame2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2.3.7</w:t>
      </w:r>
      <w:r>
        <w:rPr>
          <w:rFonts w:ascii="Times New Roman;serif" w:hAnsi="Times New Roman;serif"/>
          <w:b/>
          <w:color w:val="222222"/>
          <w:sz w:val="22"/>
        </w:rPr>
        <w:t xml:space="preserve">Trading in Companies with which Opendoor Does Business. </w:t>
      </w:r>
      <w:r>
        <w:rPr>
          <w:rFonts w:ascii="Times New Roman;serif" w:hAnsi="Times New Roman;serif"/>
          <w:b w:val="false"/>
          <w:color w:val="222222"/>
          <w:sz w:val="22"/>
        </w:rPr>
        <w:t>The restrictions above also apply to transactions in the securities of other companies with which Opendoor does business, such as through a major contract, joint venture, or business combination.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2.3.8</w:t>
      </w:r>
      <w:r>
        <w:rPr>
          <w:rFonts w:ascii="Times New Roman;serif" w:hAnsi="Times New Roman;serif"/>
          <w:b/>
          <w:color w:val="222222"/>
          <w:sz w:val="22"/>
        </w:rPr>
        <w:t>Transactions That Raise the Appearance of Impropriety.</w:t>
      </w:r>
      <w:r>
        <w:rPr>
          <w:color w:val="222222"/>
        </w:rPr>
        <w:t xml:space="preserve"> </w:t>
      </w:r>
      <w:r>
        <w:rPr>
          <w:rFonts w:ascii="Times New Roman;serif" w:hAnsi="Times New Roman;serif"/>
          <w:b w:val="false"/>
          <w:color w:val="222222"/>
          <w:sz w:val="22"/>
        </w:rPr>
        <w:t>This policy prohibits not only illegal activities, but also other trading activities that may not be illegal, but create the appearance of impropriety. These additional restrictions are designed to protect both you and Opendoor from even the appearance of impropriety.</w:t>
      </w:r>
    </w:p>
    <w:p>
      <w:pPr>
        <w:pStyle w:val="TextBody"/>
        <w:bidi w:val="0"/>
        <w:spacing w:lineRule="auto" w:line="288" w:before="0" w:after="240"/>
        <w:ind w:left="0" w:right="0" w:hanging="720"/>
        <w:jc w:val="both"/>
        <w:rPr/>
      </w:pPr>
      <w:r>
        <w:rPr>
          <w:rFonts w:ascii="Times New Roman;serif" w:hAnsi="Times New Roman;serif"/>
          <w:b/>
          <w:color w:val="000000"/>
          <w:sz w:val="22"/>
        </w:rPr>
        <w:t>3.</w:t>
      </w:r>
      <w:r>
        <w:rPr>
          <w:rFonts w:ascii="Times New Roman;serif" w:hAnsi="Times New Roman;serif"/>
          <w:b/>
          <w:color w:val="222222"/>
          <w:sz w:val="22"/>
        </w:rPr>
        <w:t>TRADING WINDOW</w:t>
      </w:r>
    </w:p>
    <w:p>
      <w:pPr>
        <w:pStyle w:val="TextBody"/>
        <w:bidi w:val="0"/>
        <w:spacing w:lineRule="auto" w:line="288" w:before="0" w:after="180"/>
        <w:ind w:left="0" w:right="0" w:firstLine="720"/>
        <w:jc w:val="both"/>
        <w:rPr/>
      </w:pPr>
      <w:r>
        <w:rPr>
          <w:rFonts w:ascii="Times New Roman;serif" w:hAnsi="Times New Roman;serif"/>
          <w:b/>
          <w:color w:val="000000"/>
          <w:sz w:val="22"/>
        </w:rPr>
        <w:t>3.1</w:t>
      </w:r>
      <w:r>
        <w:rPr>
          <w:rFonts w:ascii="Times New Roman;serif" w:hAnsi="Times New Roman;serif"/>
          <w:b/>
          <w:color w:val="222222"/>
          <w:sz w:val="22"/>
        </w:rPr>
        <w:t xml:space="preserve">General Rule. </w:t>
      </w:r>
      <w:r>
        <w:rPr>
          <w:rFonts w:ascii="Times New Roman;serif" w:hAnsi="Times New Roman;serif"/>
          <w:b w:val="false"/>
          <w:color w:val="222222"/>
          <w:sz w:val="22"/>
        </w:rPr>
        <w:t>You may buy or sell Opendoor’s stock only during an open trading window period and when you do not possess material nonpublic information about Opendoor. Trading window periods are those periods of time during which persons subject to this policy can, potentially, trade Opendoor’s stock, so long as they are not in possession of material nonpublic information. At these times, the “window” is said to be “open.” The warrants granted to you pursuant to Opendoor’s warrant dividend distribution effected in November 2025 shall be treated as Opendoor’s stock for purposes of this policy, other than with respect to the exception for cash exercise of such warrants provided in Section 4.3 of this policy.</w:t>
      </w:r>
    </w:p>
    <w:p>
      <w:pPr>
        <w:pStyle w:val="TextBody"/>
        <w:bidi w:val="0"/>
        <w:spacing w:lineRule="auto" w:line="288" w:before="0" w:after="180"/>
        <w:ind w:left="0" w:right="0" w:firstLine="720"/>
        <w:jc w:val="both"/>
        <w:rPr/>
      </w:pPr>
      <w:r>
        <w:rPr>
          <w:rFonts w:ascii="Times New Roman;serif" w:hAnsi="Times New Roman;serif"/>
          <w:b/>
          <w:color w:val="000000"/>
          <w:sz w:val="22"/>
        </w:rPr>
        <w:t>3.2</w:t>
      </w:r>
      <w:r>
        <w:rPr>
          <w:rFonts w:ascii="Times New Roman;serif" w:hAnsi="Times New Roman;serif"/>
          <w:b/>
          <w:color w:val="222222"/>
          <w:sz w:val="22"/>
        </w:rPr>
        <w:t>Blackout Periods.</w:t>
      </w:r>
      <w:r>
        <w:rPr>
          <w:color w:val="222222"/>
        </w:rPr>
        <w:t xml:space="preserve"> </w:t>
      </w:r>
      <w:r>
        <w:rPr>
          <w:rFonts w:ascii="Times New Roman;serif" w:hAnsi="Times New Roman;serif"/>
          <w:b w:val="false"/>
          <w:color w:val="222222"/>
          <w:sz w:val="22"/>
          <w:shd w:fill="FFFFFF" w:val="clear"/>
        </w:rPr>
        <w:t>Opendoor will impose standard “blackout” periods on the persons subject to this policy during which the “window” will be “closed” for such persons. Opendoor’s standard trading blackout period will begin at 11:59 p.m. Eastern Time on the</w:t>
      </w:r>
      <w:r>
        <w:rPr>
          <w:color w:val="222222"/>
        </w:rPr>
        <w:t xml:space="preserve"> </w:t>
      </w:r>
      <w:r>
        <w:rPr>
          <w:rFonts w:ascii="Times New Roman;serif" w:hAnsi="Times New Roman;serif"/>
          <w:b w:val="false"/>
          <w:color w:val="222222"/>
          <w:sz w:val="22"/>
        </w:rPr>
        <w:t>15</w:t>
      </w:r>
      <w:r>
        <w:rPr>
          <w:rFonts w:ascii="Times New Roman;serif" w:hAnsi="Times New Roman;serif"/>
          <w:b w:val="false"/>
          <w:color w:val="222222"/>
          <w:sz w:val="14"/>
        </w:rPr>
        <w:t>th</w:t>
      </w:r>
      <w:r>
        <w:rPr>
          <w:color w:val="222222"/>
        </w:rPr>
        <w:t xml:space="preserve"> </w:t>
      </w:r>
      <w:r>
        <w:rPr>
          <w:rFonts w:ascii="Times New Roman;serif" w:hAnsi="Times New Roman;serif"/>
          <w:b w:val="false"/>
          <w:color w:val="222222"/>
          <w:sz w:val="22"/>
          <w:shd w:fill="FFFFFF" w:val="clear"/>
        </w:rPr>
        <w:t xml:space="preserve">of the third month of each fiscal quarter and will end when the market opens on the third trading day after Opendoor publicly releases its earnings for such quarter (e.g., two full trading day sessions must elapse before the trading window opens). </w:t>
      </w:r>
    </w:p>
    <w:p>
      <w:pPr>
        <w:pStyle w:val="TextBody"/>
        <w:bidi w:val="0"/>
        <w:spacing w:lineRule="auto" w:line="288" w:before="0" w:after="180"/>
        <w:ind w:left="0" w:right="0" w:firstLine="720"/>
        <w:jc w:val="both"/>
        <w:rPr/>
      </w:pPr>
      <w:r>
        <w:rPr>
          <w:rFonts w:ascii="Times New Roman;serif" w:hAnsi="Times New Roman;serif"/>
          <w:b/>
          <w:color w:val="000000"/>
          <w:sz w:val="22"/>
        </w:rPr>
        <w:t>3.3</w:t>
      </w:r>
      <w:r>
        <w:rPr>
          <w:rFonts w:ascii="Times New Roman;serif" w:hAnsi="Times New Roman;serif"/>
          <w:b/>
          <w:color w:val="222222"/>
          <w:sz w:val="22"/>
          <w:shd w:fill="FFFFFF" w:val="clear"/>
        </w:rPr>
        <w:t xml:space="preserve">Additional Closed Windows. </w:t>
      </w:r>
      <w:r>
        <w:rPr>
          <w:rFonts w:ascii="Times New Roman;serif" w:hAnsi="Times New Roman;serif"/>
          <w:b w:val="false"/>
          <w:color w:val="222222"/>
          <w:sz w:val="22"/>
          <w:shd w:fill="FFFFFF" w:val="clear"/>
        </w:rPr>
        <w:t xml:space="preserve">In addition, from time to time, Opendoor may inform any of its personnel that the window is “closed.” </w:t>
      </w:r>
      <w:r>
        <w:rPr>
          <w:rFonts w:ascii="Times New Roman;serif" w:hAnsi="Times New Roman;serif"/>
          <w:b w:val="false"/>
          <w:color w:val="222222"/>
          <w:sz w:val="22"/>
        </w:rPr>
        <w:t>The window period may be closed or may not reopen if, in the judgment of the Head of Legal, there exists undisclosed information that would make trades inappropriate. A trading blackout may be implemented, for example, if there is some information or development with or relating to Opendoor’s business that merits a suspension of trading. It is important to note that the fact that a trading blackout has been imposed and/or that the window period has not reopened should be considered material nonpublic information. If a trading blackout has been imposed due to the existence of material nonpublic information, generally the window period will not re-open until the market opens on the third trading day after Opendoor’s public dissemination of the material nonpublic information (e.g., two full trading day sessions have elapsed), or until such time a determination is made that it is no longer material nonpublic information. An individual subject to this policy who believes that special circumstances require them to trade outside the window period (e.g., during any trading blackout period) should consult with the Head of Legal</w:t>
      </w:r>
      <w:r>
        <w:rPr>
          <w:rFonts w:ascii="Times New Roman;serif" w:hAnsi="Times New Roman;serif"/>
          <w:b w:val="false"/>
          <w:color w:val="222222"/>
          <w:sz w:val="22"/>
          <w:shd w:fill="FFFFFF" w:val="clear"/>
        </w:rPr>
        <w:t>.</w:t>
      </w:r>
      <w:r>
        <w:rPr>
          <w:color w:val="222222"/>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2"/>
        </w:rPr>
        <w:t>3.4</w:t>
      </w:r>
      <w:r>
        <w:rPr>
          <w:rFonts w:ascii="Times New Roman;serif" w:hAnsi="Times New Roman;serif"/>
          <w:b/>
          <w:color w:val="222222"/>
          <w:sz w:val="22"/>
        </w:rPr>
        <w:t>Exceptions to Blackout Period.</w:t>
      </w:r>
      <w:r>
        <w:rPr>
          <w:color w:val="222222"/>
        </w:rPr>
        <w:t xml:space="preserve"> </w:t>
      </w:r>
      <w:r>
        <w:rPr>
          <w:rFonts w:ascii="Times New Roman;serif" w:hAnsi="Times New Roman;serif"/>
          <w:b w:val="false"/>
          <w:color w:val="222222"/>
          <w:sz w:val="22"/>
        </w:rPr>
        <w:t>Exceptions to the blackout period policy may be approved only by the Head of Legal (or, in the case of an exception for the Head of Legal or persons or entities subject to this policy as a result of their relationship with the Head of Legal, the Chief Financial Officer).</w:t>
      </w:r>
    </w:p>
    <w:p>
      <w:pPr>
        <w:pStyle w:val="TextBody"/>
        <w:bidi w:val="0"/>
        <w:spacing w:lineRule="auto" w:line="288" w:before="0" w:after="240"/>
        <w:ind w:left="0" w:right="0" w:hanging="720"/>
        <w:jc w:val="both"/>
        <w:rPr/>
      </w:pPr>
      <w:r>
        <w:rPr>
          <w:rFonts w:ascii="Times New Roman;serif" w:hAnsi="Times New Roman;serif"/>
          <w:b/>
          <w:color w:val="000000"/>
          <w:sz w:val="22"/>
        </w:rPr>
        <w:t>4.</w:t>
      </w:r>
      <w:r>
        <w:rPr>
          <w:rFonts w:ascii="Times New Roman;serif" w:hAnsi="Times New Roman;serif"/>
          <w:b/>
          <w:color w:val="222222"/>
          <w:sz w:val="22"/>
        </w:rPr>
        <w:t>PRECLEARANCE POLICY FOR “PRECLEARANCE PERSONS”</w:t>
      </w:r>
    </w:p>
    <w:p>
      <w:pPr>
        <w:pStyle w:val="TextBody"/>
        <w:bidi w:val="0"/>
        <w:spacing w:lineRule="auto" w:line="288" w:before="0" w:after="240"/>
        <w:ind w:left="0" w:right="0" w:firstLine="720"/>
        <w:jc w:val="both"/>
        <w:rPr/>
      </w:pPr>
      <w:r>
        <w:rPr>
          <w:rFonts w:ascii="Times New Roman;serif" w:hAnsi="Times New Roman;serif"/>
          <w:b/>
          <w:color w:val="000000"/>
          <w:sz w:val="22"/>
        </w:rPr>
        <w:t>4.1</w:t>
      </w:r>
      <w:r>
        <w:rPr>
          <w:color w:val="222222"/>
        </w:rPr>
        <w:t>“</w:t>
      </w:r>
      <w:r>
        <w:rPr>
          <w:rFonts w:ascii="Times New Roman;serif" w:hAnsi="Times New Roman;serif"/>
          <w:b/>
          <w:color w:val="222222"/>
          <w:sz w:val="22"/>
        </w:rPr>
        <w:t xml:space="preserve">Preclearance Persons.” </w:t>
      </w:r>
      <w:r>
        <w:rPr>
          <w:rFonts w:ascii="Times New Roman;serif" w:hAnsi="Times New Roman;serif"/>
          <w:b w:val="false"/>
          <w:color w:val="222222"/>
          <w:sz w:val="22"/>
        </w:rPr>
        <w:t>In addition to the requirements of Section 3 above, directors, executive officers, and certain other employees designated from time to time by the Head of Legal (collectively, the “</w:t>
      </w:r>
      <w:r>
        <w:rPr>
          <w:rFonts w:ascii="Times New Roman;serif" w:hAnsi="Times New Roman;serif"/>
          <w:b/>
          <w:i/>
          <w:color w:val="222222"/>
          <w:sz w:val="22"/>
        </w:rPr>
        <w:t>Preclearance Persons</w:t>
      </w:r>
      <w:r>
        <w:rPr>
          <w:color w:val="222222"/>
        </w:rPr>
        <w:t>”</w:t>
      </w:r>
      <w:r>
        <w:rPr>
          <w:rFonts w:ascii="Times New Roman;serif" w:hAnsi="Times New Roman;serif"/>
          <w:b w:val="false"/>
          <w:color w:val="222222"/>
          <w:sz w:val="22"/>
        </w:rPr>
        <w:t xml:space="preserve">) may not engage in any transaction in Opendoor’s securities, including any purchase or sale in the open market, gift, loan, pledge or other transfer of beneficial ownership, without first obtaining preclearance of the transaction from the Head of Legal at least two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3" name="Frame2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222222"/>
          <w:sz w:val="22"/>
        </w:rPr>
      </w:pPr>
      <w:r>
        <w:rPr>
          <w:rFonts w:ascii="Times New Roman;serif" w:hAnsi="Times New Roman;serif"/>
          <w:b w:val="false"/>
          <w:color w:val="222222"/>
          <w:sz w:val="22"/>
        </w:rPr>
        <w:t xml:space="preserve">business days in advance of the proposed transaction. Employees may be designated as preclearance Persons by the Head of Legal at any time and from time to time. </w:t>
      </w:r>
    </w:p>
    <w:p>
      <w:pPr>
        <w:pStyle w:val="TextBody"/>
        <w:bidi w:val="0"/>
        <w:spacing w:lineRule="auto" w:line="288" w:before="0" w:after="180"/>
        <w:ind w:left="0" w:right="0" w:firstLine="720"/>
        <w:jc w:val="both"/>
        <w:rPr/>
      </w:pPr>
      <w:r>
        <w:rPr>
          <w:rFonts w:ascii="Times New Roman;serif" w:hAnsi="Times New Roman;serif"/>
          <w:b/>
          <w:color w:val="000000"/>
          <w:sz w:val="22"/>
        </w:rPr>
        <w:t>4.2</w:t>
      </w:r>
      <w:r>
        <w:rPr>
          <w:rFonts w:ascii="Times New Roman;serif" w:hAnsi="Times New Roman;serif"/>
          <w:b/>
          <w:color w:val="222222"/>
          <w:sz w:val="22"/>
        </w:rPr>
        <w:t>How to Request Preclearance for a Trade</w:t>
      </w:r>
      <w:r>
        <w:rPr>
          <w:rFonts w:ascii="Times New Roman;serif" w:hAnsi="Times New Roman;serif"/>
          <w:b w:val="false"/>
          <w:color w:val="222222"/>
          <w:sz w:val="22"/>
        </w:rPr>
        <w:t>.</w:t>
      </w:r>
      <w:r>
        <w:rPr>
          <w:color w:val="222222"/>
        </w:rPr>
        <w:t xml:space="preserve"> </w:t>
      </w:r>
      <w:r>
        <w:rPr>
          <w:rFonts w:ascii="Times New Roman;serif" w:hAnsi="Times New Roman;serif"/>
          <w:b w:val="false"/>
          <w:color w:val="222222"/>
          <w:sz w:val="22"/>
        </w:rPr>
        <w:t xml:space="preserve">To request clearance for a trade, all Preclearance Persons, other than directors, should contact the Head of Legal (or his or her designee) at least two business days prior to the desired trade date by completing and submitting an </w:t>
      </w:r>
      <w:r>
        <w:rPr>
          <w:rFonts w:ascii="Times New Roman;serif" w:hAnsi="Times New Roman;serif"/>
          <w:b w:val="false"/>
          <w:color w:val="222222"/>
          <w:sz w:val="22"/>
          <w:u w:val="single"/>
        </w:rPr>
        <w:t>Insider Trading Policy Preclearance Checklist and Certification form</w:t>
      </w:r>
      <w:r>
        <w:rPr>
          <w:rFonts w:ascii="Times New Roman;serif" w:hAnsi="Times New Roman;serif"/>
          <w:b w:val="false"/>
          <w:color w:val="222222"/>
          <w:sz w:val="22"/>
        </w:rPr>
        <w:t>. If circumstances dictate, Section 16 officers may, instead, email the Head of Legal directly to request preclearance with a copy to [***]. Members of the Board of Directors should email the Head of Legal directly with a copy to</w:t>
      </w:r>
      <w:r>
        <w:rPr>
          <w:color w:val="000000"/>
        </w:rPr>
        <w:t xml:space="preserve"> </w:t>
      </w:r>
      <w:r>
        <w:rPr>
          <w:rFonts w:ascii="Times New Roman;serif" w:hAnsi="Times New Roman;serif"/>
          <w:b w:val="false"/>
          <w:color w:val="222222"/>
          <w:sz w:val="22"/>
        </w:rPr>
        <w:t>[***]. A member of the Legal Team designated by the Head of Legal will then determine whether the transaction may proceed and, if required, will coordinate Opendoor’s assistance in complying with the reporting requirements under Section 16(a) of the Securities Exchange Act of 1934, as amended (the “</w:t>
      </w:r>
      <w:r>
        <w:rPr>
          <w:rFonts w:ascii="Times New Roman;serif" w:hAnsi="Times New Roman;serif"/>
          <w:b/>
          <w:i/>
          <w:color w:val="222222"/>
          <w:sz w:val="22"/>
        </w:rPr>
        <w:t>Exchange Act</w:t>
      </w:r>
      <w:r>
        <w:rPr>
          <w:color w:val="222222"/>
        </w:rPr>
        <w:t>”</w:t>
      </w:r>
      <w:r>
        <w:rPr>
          <w:rFonts w:ascii="Times New Roman;serif" w:hAnsi="Times New Roman;serif"/>
          <w:b w:val="false"/>
          <w:color w:val="222222"/>
          <w:sz w:val="22"/>
        </w:rPr>
        <w:t xml:space="preserve">), if any, in accordance with any Section 16 compliance program that Opendoor has in place at that time. For employees, precleared transactions not completed within five business days shall require new preclearance under the provisions of this Section 4. Opendoor may, at its discretion, shorten such period of time. For members of the Board of Directors, preclearance transactions that are not completed within one business day shall require a new preclearance. </w:t>
      </w:r>
    </w:p>
    <w:p>
      <w:pPr>
        <w:pStyle w:val="TextBody"/>
        <w:bidi w:val="0"/>
        <w:spacing w:lineRule="auto" w:line="288" w:before="0" w:after="180"/>
        <w:ind w:left="0" w:right="0" w:firstLine="720"/>
        <w:jc w:val="both"/>
        <w:rPr/>
      </w:pPr>
      <w:r>
        <w:rPr>
          <w:rFonts w:ascii="Times New Roman;serif" w:hAnsi="Times New Roman;serif"/>
          <w:b/>
          <w:color w:val="000000"/>
          <w:sz w:val="22"/>
        </w:rPr>
        <w:t>4.3</w:t>
      </w:r>
      <w:r>
        <w:rPr>
          <w:rFonts w:ascii="Times New Roman;serif" w:hAnsi="Times New Roman;serif"/>
          <w:b/>
          <w:color w:val="222222"/>
          <w:sz w:val="22"/>
        </w:rPr>
        <w:t>Exceptions</w:t>
      </w:r>
      <w:r>
        <w:rPr>
          <w:rFonts w:ascii="Times New Roman;serif" w:hAnsi="Times New Roman;serif"/>
          <w:b w:val="false"/>
          <w:color w:val="222222"/>
          <w:sz w:val="22"/>
        </w:rPr>
        <w:t>.</w:t>
      </w:r>
      <w:r>
        <w:rPr>
          <w:color w:val="222222"/>
        </w:rPr>
        <w:t xml:space="preserve"> </w:t>
      </w:r>
      <w:r>
        <w:rPr>
          <w:rFonts w:ascii="Times New Roman;serif" w:hAnsi="Times New Roman;serif"/>
          <w:b w:val="false"/>
          <w:color w:val="222222"/>
          <w:sz w:val="22"/>
        </w:rPr>
        <w:t xml:space="preserve">Trading activities that may be necessary or justifiable for independent reasons (such as the need to raise money for an emergency expenditure) or that are small transactions are </w:t>
      </w:r>
      <w:r>
        <w:rPr>
          <w:rFonts w:ascii="Times New Roman;serif" w:hAnsi="Times New Roman;serif"/>
          <w:b/>
          <w:color w:val="222222"/>
          <w:sz w:val="22"/>
          <w:u w:val="single"/>
        </w:rPr>
        <w:t>not</w:t>
      </w:r>
      <w:r>
        <w:rPr>
          <w:color w:val="222222"/>
        </w:rPr>
        <w:t xml:space="preserve"> </w:t>
      </w:r>
      <w:r>
        <w:rPr>
          <w:rFonts w:ascii="Times New Roman;serif" w:hAnsi="Times New Roman;serif"/>
          <w:b w:val="false"/>
          <w:color w:val="222222"/>
          <w:sz w:val="22"/>
        </w:rPr>
        <w:t xml:space="preserve">exempted from this policy. The insider trading laws do not recognize any mitigating circumstances and, in any event, even the appearance of an improper transaction must be avoided to preserve Opendoor’s reputation for adhering to the highest standards of conduct. </w:t>
      </w:r>
    </w:p>
    <w:p>
      <w:pPr>
        <w:pStyle w:val="TextBody"/>
        <w:bidi w:val="0"/>
        <w:spacing w:lineRule="auto" w:line="288" w:before="0" w:after="180"/>
        <w:jc w:val="both"/>
        <w:rPr/>
      </w:pPr>
      <w:r>
        <w:rPr>
          <w:rFonts w:ascii="Times New Roman;serif" w:hAnsi="Times New Roman;serif"/>
          <w:b w:val="false"/>
          <w:color w:val="222222"/>
          <w:sz w:val="22"/>
        </w:rPr>
        <w:t xml:space="preserve">The </w:t>
      </w:r>
      <w:r>
        <w:rPr>
          <w:rFonts w:ascii="Times New Roman;serif" w:hAnsi="Times New Roman;serif"/>
          <w:b/>
          <w:color w:val="222222"/>
          <w:sz w:val="22"/>
          <w:u w:val="single"/>
        </w:rPr>
        <w:t>only</w:t>
      </w:r>
      <w:r>
        <w:rPr>
          <w:color w:val="222222"/>
        </w:rPr>
        <w:t xml:space="preserve"> </w:t>
      </w:r>
      <w:r>
        <w:rPr>
          <w:rFonts w:ascii="Times New Roman;serif" w:hAnsi="Times New Roman;serif"/>
          <w:b w:val="false"/>
          <w:color w:val="222222"/>
          <w:sz w:val="22"/>
        </w:rPr>
        <w:t xml:space="preserve">exceptions to this policy are the following: </w:t>
      </w:r>
    </w:p>
    <w:p>
      <w:pPr>
        <w:pStyle w:val="TextBody"/>
        <w:bidi w:val="0"/>
        <w:spacing w:lineRule="auto" w:line="288" w:before="0" w:after="180"/>
        <w:ind w:left="0" w:right="0" w:firstLine="1440"/>
        <w:jc w:val="both"/>
        <w:rPr/>
      </w:pPr>
      <w:r>
        <w:rPr>
          <w:rFonts w:ascii="Times New Roman;serif" w:hAnsi="Times New Roman;serif"/>
          <w:b w:val="false"/>
          <w:color w:val="000000"/>
          <w:sz w:val="22"/>
        </w:rPr>
        <w:t>4.3.1</w:t>
      </w:r>
      <w:r>
        <w:rPr>
          <w:rFonts w:ascii="Times New Roman;serif" w:hAnsi="Times New Roman;serif"/>
          <w:b/>
          <w:color w:val="222222"/>
          <w:sz w:val="22"/>
        </w:rPr>
        <w:t>Option Exercises, RSU Settlements and Employee Stock Purchase Plan Purchases.</w:t>
      </w:r>
      <w:r>
        <w:rPr>
          <w:color w:val="222222"/>
        </w:rPr>
        <w:t xml:space="preserve"> </w:t>
      </w:r>
      <w:r>
        <w:rPr>
          <w:rFonts w:ascii="Times New Roman;serif" w:hAnsi="Times New Roman;serif"/>
          <w:b w:val="false"/>
          <w:color w:val="222222"/>
          <w:sz w:val="22"/>
        </w:rPr>
        <w:t>You may exercise options granted under Opendoor’s equity incentive plans for cash and may receive shares upon settlement of vested restricted stock units (“</w:t>
      </w:r>
      <w:r>
        <w:rPr>
          <w:rFonts w:ascii="Times New Roman;serif" w:hAnsi="Times New Roman;serif"/>
          <w:b/>
          <w:i/>
          <w:color w:val="222222"/>
          <w:sz w:val="22"/>
        </w:rPr>
        <w:t>RSUs</w:t>
      </w:r>
      <w:r>
        <w:rPr>
          <w:color w:val="222222"/>
        </w:rPr>
        <w:t>”</w:t>
      </w:r>
      <w:r>
        <w:rPr>
          <w:rFonts w:ascii="Times New Roman;serif" w:hAnsi="Times New Roman;serif"/>
          <w:b w:val="false"/>
          <w:color w:val="222222"/>
          <w:sz w:val="22"/>
        </w:rPr>
        <w:t xml:space="preserve">); the “cashless” exercise of a stock option through a broker, however, involves a market sale of Opendoor's securities and does not qualify under this exception. In the event Opendoor adopts a mandatory “sell-to-cover” policy to enable employees to sell Opendoor stock automatically to cover withholding obligations in connection with RSU settlements, or a “net share withholding” policy to enable Opendoor to withhold shares to cover such withholding obligations in connection with RSU settlements, sales or shares withheld under such policy will also be exempt. Employees who are eligible to do so may also purchase (not sell) shares under any employee stock purchase plan that Opendoor may adopt, pursuant to the terms of such plan. In addition, sales directly to Opendoor in connection with repurchases of stock by Opendoor are permitted without restriction. </w:t>
      </w:r>
    </w:p>
    <w:p>
      <w:pPr>
        <w:pStyle w:val="TextBody"/>
        <w:bidi w:val="0"/>
        <w:spacing w:lineRule="auto" w:line="288" w:before="0" w:after="180"/>
        <w:ind w:left="0" w:right="0" w:firstLine="1440"/>
        <w:jc w:val="both"/>
        <w:rPr/>
      </w:pPr>
      <w:r>
        <w:rPr>
          <w:rFonts w:ascii="Times New Roman;serif" w:hAnsi="Times New Roman;serif"/>
          <w:b w:val="false"/>
          <w:color w:val="000000"/>
          <w:sz w:val="22"/>
        </w:rPr>
        <w:t>4.3.2</w:t>
      </w:r>
      <w:r>
        <w:rPr>
          <w:rFonts w:ascii="Times New Roman;serif" w:hAnsi="Times New Roman;serif"/>
          <w:b/>
          <w:color w:val="222222"/>
          <w:sz w:val="22"/>
        </w:rPr>
        <w:t>Bona Fide Gifts.</w:t>
      </w:r>
      <w:r>
        <w:rPr>
          <w:color w:val="222222"/>
        </w:rPr>
        <w:t xml:space="preserve"> </w:t>
      </w:r>
      <w:r>
        <w:rPr>
          <w:rFonts w:ascii="Times New Roman;serif" w:hAnsi="Times New Roman;serif"/>
          <w:b w:val="false"/>
          <w:color w:val="222222"/>
          <w:sz w:val="22"/>
        </w:rPr>
        <w:t>You may make a bona fide gift of Opendoor’s securities at any time, unless you know, or are reckless in not knowing, that the recipient intends to sell the securities while you are in possession of material nonpublic information about Opendoor.</w:t>
      </w:r>
    </w:p>
    <w:p>
      <w:pPr>
        <w:pStyle w:val="TextBody"/>
        <w:bidi w:val="0"/>
        <w:spacing w:lineRule="auto" w:line="288" w:before="0" w:after="180"/>
        <w:ind w:left="0" w:right="0" w:firstLine="1440"/>
        <w:jc w:val="both"/>
        <w:rPr/>
      </w:pPr>
      <w:r>
        <w:rPr>
          <w:rFonts w:ascii="Times New Roman;serif" w:hAnsi="Times New Roman;serif"/>
          <w:b w:val="false"/>
          <w:color w:val="000000"/>
          <w:sz w:val="22"/>
        </w:rPr>
        <w:t>4.3.3</w:t>
      </w:r>
      <w:r>
        <w:rPr>
          <w:rFonts w:ascii="Times New Roman;serif" w:hAnsi="Times New Roman;serif"/>
          <w:b/>
          <w:color w:val="222222"/>
          <w:sz w:val="22"/>
        </w:rPr>
        <w:t xml:space="preserve">Rule 10b5-1 Plans. </w:t>
      </w:r>
      <w:r>
        <w:rPr>
          <w:rFonts w:ascii="Times New Roman;serif" w:hAnsi="Times New Roman;serif"/>
          <w:b w:val="false"/>
          <w:color w:val="222222"/>
          <w:sz w:val="22"/>
        </w:rPr>
        <w:t xml:space="preserve">You may establish a written program, pursuant to Rule 10b5-1(c) of the Exchange Act, which permits (a) automatic trading of Opendoor’s stock according to set criteria or (b) trading of Opendoor’s stock by an independent person (such as an investment bank) who is not aware of material nonpublic information. All such programs must be made in full compliance with the requirements of the 10b5-1 Trading Plan Guidelines adopted by Opendoor, including that such trading plans may only be entered into during an open window period and while the participant does not possess material nonpublic information about Opendoor. All such programs must also include a “cooling off period” for (a) Section 16 reporting persons that extends to the later of 90 days after adoption or modification of a trading plan or two business days after filing the Form 10-K or Form 10-Q covering the fiscal quarter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4" name="Frame2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222222"/>
          <w:sz w:val="22"/>
        </w:rPr>
      </w:pPr>
      <w:r>
        <w:rPr>
          <w:rFonts w:ascii="Times New Roman;serif" w:hAnsi="Times New Roman;serif"/>
          <w:b w:val="false"/>
          <w:color w:val="222222"/>
          <w:sz w:val="22"/>
        </w:rPr>
        <w:t>trading plan was adopted, up to a maximum of 120 days; and (b) other employees and any other persons, that extends 30 days after adoption or modification of a trading plan. Section 16 reporting persons must also include a representation in the trading plan that the Section 16 reporting person is (a) not aware of any material nonpublic information about the Company or its securities; and (b) adopting the trading plan in good faith and not as part of a plan or scheme to evade Rule 10b-5. So long as the program is properly established, trading pursuant to a program may occur even at a time outside of the window period or when the plan participant is aware of material nonpublic information. Each form of program must be reviewed and approved by the Opendoor Legal Team, solely to confirm compliance with the Rule 10b5-1 Trading Plan Guidelines. To request review of a proposed Rule 10b5-1 trading plan that you may wish to adopt, please contact the Legal Team. Opendoor will not review or pre-approve the trading specifics of any program, only the form of the program itself. Once the program is prepared and becomes effective, it cannot be changed or deviated from except (a) with advance notice to Opendoor’s Legal Team, (b) in full compliance with the requirements of the Rule 10b5-1 Trading Plan Guidelines adopted by Opendoor, and (c) at a time when the plan participant is permitted to trade in Opendoor’s stock under the guidelines set forth in this policy. Modifications that change the amount, price, or timing of the purchase or sale of the securities underlying the plan will trigger a new cooling-off period as described above. Furthermore, at the discretion of Opendoor, the terms of such a program may be disclosed to the public through a filing with the SEC, a press release, or through other means to be determined by Opendoor.</w:t>
      </w:r>
    </w:p>
    <w:p>
      <w:pPr>
        <w:pStyle w:val="TextBody"/>
        <w:bidi w:val="0"/>
        <w:spacing w:lineRule="auto" w:line="288" w:before="0" w:after="0"/>
        <w:ind w:left="0" w:right="0" w:firstLine="1440"/>
        <w:jc w:val="both"/>
        <w:rPr/>
      </w:pPr>
      <w:r>
        <w:rPr>
          <w:rFonts w:ascii="Times New Roman;serif" w:hAnsi="Times New Roman;serif"/>
          <w:b w:val="false"/>
          <w:color w:val="000000"/>
          <w:sz w:val="22"/>
        </w:rPr>
        <w:t>4.3.4</w:t>
      </w:r>
      <w:r>
        <w:rPr>
          <w:rFonts w:ascii="Times New Roman;serif" w:hAnsi="Times New Roman;serif"/>
          <w:b/>
          <w:color w:val="000000"/>
          <w:sz w:val="22"/>
        </w:rPr>
        <w:t>Warrant Exercises.</w:t>
      </w:r>
      <w:r>
        <w:rPr>
          <w:color w:val="000000"/>
        </w:rPr>
        <w:t xml:space="preserve"> </w:t>
      </w:r>
      <w:r>
        <w:rPr>
          <w:rFonts w:ascii="Times New Roman;serif" w:hAnsi="Times New Roman;serif"/>
          <w:b w:val="false"/>
          <w:color w:val="000000"/>
          <w:sz w:val="22"/>
        </w:rPr>
        <w:t xml:space="preserve">You may exercise warrants that you received from Opendoor under Opendoor’s warrant dividend distribution effected in November 2025. Any shares received upon exercise of any such warrant shall be subject to this policy and do not qualify for this exception. </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5.CONSEQUENCES OF VIOLATIONS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Violations of either the insider trading laws or this policy are extremely serious matters. The SEC and stock exchanges monitor stock trading and routinely investigate suspicious activity. The penalties for violating the insider trading laws are severe (including fines and imprisonment), and even having to respond to an investigation can result in significant legal expenses and unwanted negative publicity for both you and Opendoor. In addition, violation of this policy may result in severe personnel action, up to and including termination of your employment or other relationship with Opendoor.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6.CHANGES TO THIS POLICY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Changes to this policy require approval by Opendoor’s board of directors or a duly appointed committee of Opendoor’s board of directors.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7.ADDITIONAL INFORMATION AND QUESTIONS</w:t>
      </w:r>
    </w:p>
    <w:p>
      <w:pPr>
        <w:pStyle w:val="TextBody"/>
        <w:bidi w:val="0"/>
        <w:spacing w:lineRule="auto" w:line="288" w:before="0" w:after="0"/>
        <w:jc w:val="both"/>
        <w:rPr/>
      </w:pPr>
      <w:r>
        <w:rPr>
          <w:rFonts w:ascii="Times New Roman;serif" w:hAnsi="Times New Roman;serif"/>
          <w:b w:val="false"/>
          <w:color w:val="000000"/>
          <w:sz w:val="22"/>
        </w:rPr>
        <w:t xml:space="preserve">Please refer to the “Frequently Asked Questions” document separately available </w:t>
      </w:r>
      <w:r>
        <w:rPr>
          <w:rFonts w:ascii="Times New Roman;serif" w:hAnsi="Times New Roman;serif"/>
          <w:b w:val="false"/>
          <w:color w:val="000000"/>
          <w:sz w:val="22"/>
          <w:u w:val="single"/>
        </w:rPr>
        <w:t>here</w:t>
      </w:r>
      <w:r>
        <w:rPr>
          <w:rFonts w:ascii="Times New Roman;serif" w:hAnsi="Times New Roman;serif"/>
          <w:b w:val="false"/>
          <w:color w:val="000000"/>
          <w:sz w:val="22"/>
        </w:rPr>
        <w:t xml:space="preserve">. If you have any further questions about any aspect of this policy, please contact Opendoor’s Legal Team at </w:t>
      </w:r>
      <w:r>
        <w:rPr>
          <w:rFonts w:ascii="Times New Roman;serif" w:hAnsi="Times New Roman;serif"/>
          <w:b w:val="false"/>
          <w:color w:val="222222"/>
          <w:sz w:val="22"/>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(As adopted by the Board of Directors on December 18, 2020, amended by the Audit Committee of the Board of Directors on December 6, 2021 and February 9, 2023, re-approved by the Audit Committee of the Board of Directors on December 6, 2023, amended by the Audit Committee of the Board of Directors on August 22, 2024 and amended by the Audit and Risk Committee of the Board of Directors November 19,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5" name="Frame2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45" w:before="0" w:after="12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12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Subsidiaries</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Item 601(b)(21)(ii) of Regulation S-K, certain subsidiaries of the Registrant have been omitted which, considered in the aggregate as a single subsidiary, would not constitute a significant subsidiary (as defined in Rule 1-02(w) of Regulation S-X) as of December 31, 2025.</w:t>
      </w:r>
    </w:p>
    <w:p>
      <w:pPr>
        <w:pStyle w:val="TextBody"/>
        <w:bidi w:val="0"/>
        <w:spacing w:before="0" w:after="120"/>
        <w:jc w:val="left"/>
        <w:rPr/>
      </w:pPr>
      <w:r>
        <w:rPr/>
      </w:r>
    </w:p>
    <w:tbl>
      <w:tblPr>
        <w:tblW w:w="3734" w:type="dxa"/>
        <w:jc w:val="left"/>
        <w:tblInd w:w="0" w:type="dxa"/>
        <w:tblLayout w:type="fixed"/>
        <w:tblCellMar>
          <w:top w:w="28" w:type="dxa"/>
          <w:left w:w="28" w:type="dxa"/>
          <w:bottom w:w="28" w:type="dxa"/>
          <w:right w:w="28" w:type="dxa"/>
        </w:tblCellMar>
      </w:tblPr>
      <w:tblGrid>
        <w:gridCol w:w="621"/>
        <w:gridCol w:w="544"/>
        <w:gridCol w:w="544"/>
        <w:gridCol w:w="535"/>
        <w:gridCol w:w="535"/>
        <w:gridCol w:w="549"/>
        <w:gridCol w:w="118"/>
        <w:gridCol w:w="118"/>
        <w:gridCol w:w="170"/>
      </w:tblGrid>
      <w:tr>
        <w:trPr/>
        <w:tc>
          <w:tcPr>
            <w:tcW w:w="62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33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OD Intermediate SUBI Holdco II LLC</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33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22222"/>
                <w:sz w:val="20"/>
              </w:rPr>
            </w:pPr>
            <w:r>
              <w:rPr>
                <w:rFonts w:ascii="Times New Roman;serif" w:hAnsi="Times New Roman;serif"/>
                <w:b w:val="false"/>
                <w:color w:val="222222"/>
                <w:sz w:val="20"/>
              </w:rPr>
              <w:t>OD Intermediate SUBI Holdco VII LLC</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Opendoor Labs Inc.</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33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Opendoor Property Trust I</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We consent to the incorporation by reference in Registration Statement Nos. 333-253993, 333-266877,</w:t>
      </w:r>
      <w:r>
        <w:rPr>
          <w:color w:val="000000"/>
        </w:rPr>
        <w:t xml:space="preserve"> </w:t>
      </w:r>
      <w:r>
        <w:rPr>
          <w:rFonts w:ascii="Times New Roman;serif" w:hAnsi="Times New Roman;serif"/>
          <w:b w:val="false"/>
          <w:color w:val="000000"/>
          <w:sz w:val="22"/>
        </w:rPr>
        <w:t>333-271657, 333-290224, and 333-291340 on Form S-8,</w:t>
      </w:r>
      <w:r>
        <w:rPr>
          <w:color w:val="000000"/>
        </w:rPr>
        <w:t xml:space="preserve"> </w:t>
      </w:r>
      <w:r>
        <w:rPr>
          <w:rFonts w:ascii="Times New Roman;serif" w:hAnsi="Times New Roman;serif"/>
          <w:b w:val="false"/>
          <w:color w:val="000000"/>
          <w:sz w:val="24"/>
        </w:rPr>
        <w:t>333-251529 on post-effective Amendment No. 3 on Form S-3 and 333-279080 on Form S-3 of our reports dated February 19, 2026, relating to the consolidated financial statements of Opendoor Technologies Inc. and the effectiveness of Opendoor Technologies Inc.’s internal control over financial reporting appearing in this Annual Report on Form 10-K of Opendoor Technologies Inc. for the year ended December 31, 2025. We also consent to the reference to us under the heading “Experts” in such Registration Statements.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 Deloitte &amp; Touche LLP</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San Francisco, California</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February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Kaz Nejatian,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Opendoor Technologies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52"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Kaz Nejatian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Kaz Nejatian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Christy Schwartz,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Opendoor Technologies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pPr>
      <w:r>
        <w:rPr>
          <w:rFonts w:ascii="Helvetica;sans-serif" w:hAnsi="Helvetica;sans-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41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1131"/>
        <w:gridCol w:w="1131"/>
        <w:gridCol w:w="16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Opendoor Technologies Inc. (the “Company”) for the period ended December 31, 2025 as filed with the Securities and Exchange Commission on the date hereof (the “Report”), the undersigned, Kaz Nejatian, Chief Executive Officer of the Company, and Christy Schwartz, Chief Financial Officer of the Company, each certifies,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432"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9"/>
        <w:gridCol w:w="139"/>
        <w:gridCol w:w="141"/>
        <w:gridCol w:w="1131"/>
        <w:gridCol w:w="1131"/>
        <w:gridCol w:w="16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aramond">
    <w:altName w:val="serif"/>
    <w:charset w:val="01"/>
    <w:family w:val="auto"/>
    <w:pitch w:val="default"/>
  </w:font>
  <w:font w:name="Helvetica">
    <w:altName w:val="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1169/000110465920137517/tm2038661d2_ex3-1.htm" TargetMode="External"/><Relationship Id="rId4" Type="http://schemas.openxmlformats.org/officeDocument/2006/relationships/hyperlink" Target="https://www.sec.gov/Archives/edgar/data/1801169/000119312523013575/d386352dex31.htm" TargetMode="External"/><Relationship Id="rId5" Type="http://schemas.openxmlformats.org/officeDocument/2006/relationships/hyperlink" Target="https://www.sec.gov/Archives/edgar/data/1801169/000110465920122215/tm2030455d5_ex4-5.htm" TargetMode="External"/><Relationship Id="rId6" Type="http://schemas.openxmlformats.org/officeDocument/2006/relationships/hyperlink" Target="https://www.sec.gov/Archives/edgar/data/1801169/000180116922000079/exhibit992opendoor-warrant.htm" TargetMode="External"/><Relationship Id="rId7" Type="http://schemas.openxmlformats.org/officeDocument/2006/relationships/hyperlink" Target="https://www.sec.gov/Archives/edgar/data/0001801169/000119312521255177/d194617dex41.htm" TargetMode="External"/><Relationship Id="rId8" Type="http://schemas.openxmlformats.org/officeDocument/2006/relationships/hyperlink" Target="https://www.sec.gov/Archives/edgar/data/1801169/000114036125019770/ef20049190_ex4-1.htm" TargetMode="External"/><Relationship Id="rId9" Type="http://schemas.openxmlformats.org/officeDocument/2006/relationships/hyperlink" Target="https://www.sec.gov/Archives/edgar/data/1801169/000114036125042984/ef20059583_ex4-1.htm" TargetMode="External"/><Relationship Id="rId10" Type="http://schemas.openxmlformats.org/officeDocument/2006/relationships/hyperlink" Target="https://www.sec.gov/Archives/edgar/data/1801169/000110465920137517/tm2038661d2_ex10-14.htm" TargetMode="External"/><Relationship Id="rId11" Type="http://schemas.openxmlformats.org/officeDocument/2006/relationships/hyperlink" Target="https://www.sec.gov/Archives/edgar/data/1801169/000110465920137517/tm2038661d2_ex10-1.htm" TargetMode="External"/><Relationship Id="rId12" Type="http://schemas.openxmlformats.org/officeDocument/2006/relationships/hyperlink" Target="https://www.sec.gov/Archives/edgar/data/1801169/000110465920112009/tm2030455d2_ex10-18.htm" TargetMode="External"/><Relationship Id="rId13" Type="http://schemas.openxmlformats.org/officeDocument/2006/relationships/hyperlink" Target="https://www.sec.gov/Archives/edgar/data/1801169/000110465920112009/tm2030455d2_ex10-19.htm" TargetMode="External"/><Relationship Id="rId14" Type="http://schemas.openxmlformats.org/officeDocument/2006/relationships/hyperlink" Target="https://www.sec.gov/Archives/edgar/data/1801169/000110465920129165/tm2030455d9_ex10-20.htm" TargetMode="External"/><Relationship Id="rId15" Type="http://schemas.openxmlformats.org/officeDocument/2006/relationships/hyperlink" Target="https://www.sec.gov/Archives/edgar/data/1801169/000110465920137517/tm2038661d2_ex10-3.htm" TargetMode="External"/><Relationship Id="rId16" Type="http://schemas.openxmlformats.org/officeDocument/2006/relationships/hyperlink" Target="https://www.sec.gov/Archives/edgar/data/1801169/000110465921046095/tm2111992d1_ex99-1.htm" TargetMode="External"/><Relationship Id="rId17" Type="http://schemas.openxmlformats.org/officeDocument/2006/relationships/hyperlink" Target="https://www.sec.gov/Archives/edgar/data/1801169/000180116921000120/q32021ex101formofoptionagr.htm" TargetMode="External"/><Relationship Id="rId18" Type="http://schemas.openxmlformats.org/officeDocument/2006/relationships/hyperlink" Target="https://www.sec.gov/Archives/edgar/data/1801169/000180116921000101/q22021ex101formofrsugrantn.htm" TargetMode="External"/><Relationship Id="rId19" Type="http://schemas.openxmlformats.org/officeDocument/2006/relationships/hyperlink" Target="https://www.sec.gov/Archives/edgar/data/1801169/000180116923000024/a2022ex1015opendoorx2020em.htm" TargetMode="External"/><Relationship Id="rId20" Type="http://schemas.openxmlformats.org/officeDocument/2006/relationships/hyperlink" Target="https://www.sec.gov/Archives/edgar/data/1801169/000180116924000085/a102formofprsunoticeandagr.htm" TargetMode="External"/><Relationship Id="rId21" Type="http://schemas.openxmlformats.org/officeDocument/2006/relationships/hyperlink" Target="https://www.sec.gov/Archives/edgar/data/1801169/000110465920129710/tm2030455d14_ex10-32.htm" TargetMode="External"/><Relationship Id="rId22" Type="http://schemas.openxmlformats.org/officeDocument/2006/relationships/hyperlink" Target="https://www.sec.gov/Archives/edgar/data/1801169/000180116923000024/a2022ex1022opendoorxwheele.htm" TargetMode="External"/><Relationship Id="rId23" Type="http://schemas.openxmlformats.org/officeDocument/2006/relationships/hyperlink" Target="https://www.sec.gov/Archives/edgar/data/1801169/000180116924000085/a101opendoortechnologiesin.htm" TargetMode="External"/><Relationship Id="rId24" Type="http://schemas.openxmlformats.org/officeDocument/2006/relationships/hyperlink" Target="https://www.sec.gov/Archives/edgar/data/1801169/000180116922000041/q12022ex103-opendoorxcarri.htm" TargetMode="External"/><Relationship Id="rId25" Type="http://schemas.openxmlformats.org/officeDocument/2006/relationships/hyperlink" Target="https://www.sec.gov/Archives/edgar/data/1801169/000180116922000083/exhibit991opendoortechnolo.htm" TargetMode="External"/><Relationship Id="rId26" Type="http://schemas.openxmlformats.org/officeDocument/2006/relationships/hyperlink" Target="https://www.sec.gov/Archives/edgar/data/1801169/000180116922000083/exhibit992formofrestricted.htm" TargetMode="External"/><Relationship Id="rId27" Type="http://schemas.openxmlformats.org/officeDocument/2006/relationships/hyperlink" Target="https://www.sec.gov/Archives/edgar/data/1801169/000180116922000083/exhibit993formofstockoptio.htm" TargetMode="External"/><Relationship Id="rId28" Type="http://schemas.openxmlformats.org/officeDocument/2006/relationships/hyperlink" Target="https://www.sec.gov/Archives/edgar/data/1801169/000180116924000177/a101offerletteragreement-s.htm" TargetMode="External"/><Relationship Id="rId29" Type="http://schemas.openxmlformats.org/officeDocument/2006/relationships/hyperlink" Target="https://www.sec.gov/Archives/edgar/data/1801169/000180116923000024/a2022ex1032formofrestricte.htm" TargetMode="External"/><Relationship Id="rId30" Type="http://schemas.openxmlformats.org/officeDocument/2006/relationships/hyperlink" Target="https://www.sec.gov/Archives/edgar/data/1801169/000180116923000055/a102offerletteragreementda.htm" TargetMode="External"/><Relationship Id="rId31" Type="http://schemas.openxmlformats.org/officeDocument/2006/relationships/hyperlink" Target="https://www.sec.gov/Archives/edgar/data/1801169/000180116924000016/a2023ex1031formofrsugrantn.htm" TargetMode="External"/><Relationship Id="rId32" Type="http://schemas.openxmlformats.org/officeDocument/2006/relationships/hyperlink" Target="https://www.sec.gov/Archives/edgar/data/1801169/000180116924000016/a2023ex1032formofrsugrantn.htm" TargetMode="External"/><Relationship Id="rId33" Type="http://schemas.openxmlformats.org/officeDocument/2006/relationships/hyperlink" Target="https://www.sec.gov/Archives/edgar/data/1801169/000180116925000017/a2024ex1034formofdirectoro.htm" TargetMode="External"/><Relationship Id="rId34" Type="http://schemas.openxmlformats.org/officeDocument/2006/relationships/hyperlink" Target="https://www.sec.gov/Archives/edgar/data/1801169/000180116925000038/a102formofprsuawardagreeme.htm" TargetMode="External"/><Relationship Id="rId35" Type="http://schemas.openxmlformats.org/officeDocument/2006/relationships/hyperlink" Target="https://www.sec.gov/Archives/edgar/data/1801169/000180116925000038/a103formofrsugrantnoticean.htm" TargetMode="External"/><Relationship Id="rId36" Type="http://schemas.openxmlformats.org/officeDocument/2006/relationships/hyperlink" Target="https://www.sec.gov/Archives/edgar/data/1801169/000114036125018030/ef20048700_ex10-1.htm" TargetMode="External"/><Relationship Id="rId37" Type="http://schemas.openxmlformats.org/officeDocument/2006/relationships/hyperlink" Target="https://www.sec.gov/Archives/edgar/data/1801169/000180116925000092/exhibit101opendoorofferlet.htm" TargetMode="External"/><Relationship Id="rId38" Type="http://schemas.openxmlformats.org/officeDocument/2006/relationships/hyperlink" Target="https://www.sec.gov/Archives/edgar/data/1801169/000180116925000092/exhibit102opendooramendedo.htm" TargetMode="External"/><Relationship Id="rId39" Type="http://schemas.openxmlformats.org/officeDocument/2006/relationships/hyperlink" Target="https://www.sec.gov/Archives/edgar/data/1801169/000180116925000092/exhibit103opendoor-ceooffe.htm" TargetMode="External"/><Relationship Id="rId40" Type="http://schemas.openxmlformats.org/officeDocument/2006/relationships/hyperlink" Target="https://www.sec.gov/Archives/edgar/data/1801169/000180116925000092/exhibit103opendoor-ceooffe.htm" TargetMode="External"/><Relationship Id="rId41" Type="http://schemas.openxmlformats.org/officeDocument/2006/relationships/hyperlink" Target="https://www.sec.gov/Archives/edgar/data/1801169/000180116925000092/exhibit103opendoor-ceooffe.htm" TargetMode="External"/><Relationship Id="rId42" Type="http://schemas.openxmlformats.org/officeDocument/2006/relationships/hyperlink" Target="https://www.sec.gov/Archives/edgar/data/1801169/000180116925000092/exhibit103opendoor-ceooffe.htm" TargetMode="External"/><Relationship Id="rId43" Type="http://schemas.openxmlformats.org/officeDocument/2006/relationships/hyperlink" Target="https://www.sec.gov/Archives/edgar/data/1801169/000114036125034856/ef20055523_ex4-4.htm" TargetMode="External"/><Relationship Id="rId44" Type="http://schemas.openxmlformats.org/officeDocument/2006/relationships/hyperlink" Target="https://www.sec.gov/Archives/edgar/data/1801169/000114036125034856/ef20055523_ex4-5.htm" TargetMode="External"/><Relationship Id="rId45" Type="http://schemas.openxmlformats.org/officeDocument/2006/relationships/hyperlink" Target="https://www.sec.gov/Archives/edgar/data/1801169/000180116925000092/exhibit107opendoorofferlet.htm" TargetMode="External"/><Relationship Id="rId46" Type="http://schemas.openxmlformats.org/officeDocument/2006/relationships/hyperlink" Target="https://www.sec.gov/Archives/edgar/data/1801169/000180116925000092/exhibit108open_advisoryagr.htm" TargetMode="External"/><Relationship Id="rId47" Type="http://schemas.openxmlformats.org/officeDocument/2006/relationships/hyperlink" Target="https://www.sec.gov/Archives/edgar/data/1801169/000114036125040804/ny20058304x2_ex10-1.htm" TargetMode="External"/><Relationship Id="rId48" Type="http://schemas.openxmlformats.org/officeDocument/2006/relationships/hyperlink" Target="https://www.sec.gov/Archives/edgar/data/1801169/000114036125040804/ny20058304x2_ex10-1.htm" TargetMode="External"/><Relationship Id="rId49" Type="http://schemas.openxmlformats.org/officeDocument/2006/relationships/hyperlink" Target="https://www.sec.gov/Archives/edgar/data/1801169/000114036125040804/ny20058304x2_ex10-1.htm" TargetMode="External"/><Relationship Id="rId50" Type="http://schemas.openxmlformats.org/officeDocument/2006/relationships/hyperlink" Target="https://www.sec.gov/Archives/edgar/data/1801169/000114036125040804/ny20058304x2_ex10-1.htm" TargetMode="External"/><Relationship Id="rId51" Type="http://schemas.openxmlformats.org/officeDocument/2006/relationships/hyperlink" Target="https://www.sec.gov/Archives/edgar/data/1801169/000114036125040804/ny20058304x2_ex10-1.htm" TargetMode="External"/><Relationship Id="rId52" Type="http://schemas.openxmlformats.org/officeDocument/2006/relationships/hyperlink" Target="https://www.sec.gov/Archives/edgar/data/1801169/000114036125040804/ny20058304x2_ex10-1.htm" TargetMode="External"/><Relationship Id="rId53" Type="http://schemas.openxmlformats.org/officeDocument/2006/relationships/hyperlink" Target="https://www.sec.gov/Archives/edgar/data/1801169/000180116924000016/a2023ex971policyforrecover.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156</Pages>
  <Words>138127</Words>
  <Characters>756342</Characters>
  <CharactersWithSpaces>891131</CharactersWithSpaces>
  <Paragraphs>7039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