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Opendoor Technologies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683712 103</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Alejandro Moreno</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Access Industries, Inc.</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 West 57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 28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247-6400</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Matthew E. Kaplan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Debevoise &amp; Plimpton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919 Third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909-6000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18,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Rules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193675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68"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683712 103</w:t>
      </w:r>
    </w:p>
    <w:p>
      <w:pPr>
        <w:spacing w:after="0" w:line="171" w:lineRule="exact"/>
        <w:rPr>
          <w:sz w:val="20"/>
          <w:szCs w:val="20"/>
          <w:color w:val="auto"/>
        </w:rPr>
      </w:pPr>
    </w:p>
    <w:p>
      <w:pPr>
        <w:ind w:left="624" w:hanging="377"/>
        <w:spacing w:after="0"/>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Access Industries Management, LLC</w:t>
      </w:r>
    </w:p>
    <w:p>
      <w:pPr>
        <w:spacing w:after="0" w:line="36" w:lineRule="exact"/>
        <w:rPr>
          <w:sz w:val="20"/>
          <w:szCs w:val="20"/>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p>
      <w:pPr>
        <w:ind w:left="2024" w:hanging="422"/>
        <w:spacing w:after="0"/>
        <w:tabs>
          <w:tab w:leader="none" w:pos="20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34,639,442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0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10</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34,639,442 shares</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34,639,442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20" w:hanging="467"/>
        <w:spacing w:after="0" w:line="402"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6.36%</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24" w:right="6080" w:hanging="467"/>
        <w:spacing w:after="0" w:line="547"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percentages of ownership of the Common Stock by Reporting Persons presented in this Statement assume an aggregate of 544,422,565 shares of Common Stock issued and outstanding immediately following the consummation of the Business Combination on December 18, 2020, as set forth in the Issuer’s current report on Form 8-K, filed on December 18, 2020.</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683712 103</w:t>
      </w:r>
    </w:p>
    <w:p>
      <w:pPr>
        <w:spacing w:after="0" w:line="171" w:lineRule="exact"/>
        <w:rPr>
          <w:sz w:val="20"/>
          <w:szCs w:val="20"/>
          <w:color w:val="auto"/>
        </w:rPr>
      </w:pP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AI LiquidRE LLC</w:t>
      </w:r>
    </w:p>
    <w:p>
      <w:pPr>
        <w:spacing w:after="0" w:line="3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24"/>
                <w:szCs w:val="24"/>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34,639,442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34,639,442 shares</w:t>
            </w:r>
          </w:p>
        </w:tc>
        <w:tc>
          <w:tcPr>
            <w:tcW w:w="0" w:type="dxa"/>
            <w:vAlign w:val="bottom"/>
          </w:tcPr>
          <w:p>
            <w:pPr>
              <w:spacing w:after="0"/>
              <w:rPr>
                <w:sz w:val="1"/>
                <w:szCs w:val="1"/>
                <w:color w:val="auto"/>
              </w:rPr>
            </w:pPr>
          </w:p>
        </w:tc>
      </w:tr>
      <w:tr>
        <w:trPr>
          <w:trHeight w:val="176"/>
        </w:trPr>
        <w:tc>
          <w:tcPr>
            <w:tcW w:w="130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10</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34,639,442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20" w:hanging="467"/>
        <w:spacing w:after="0" w:line="402" w:lineRule="auto"/>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6.36%</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24" w:right="6080" w:hanging="467"/>
        <w:spacing w:after="0" w:line="547" w:lineRule="auto"/>
        <w:tabs>
          <w:tab w:leader="none" w:pos="6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percentages of ownership of the Common Stock by Reporting Persons presented in this Statement assume an aggregate of 544,422,565 shares of Common Stock issued and outstanding immediately following the consummation of the Business Combination on December 18, 2020, as set forth in the Issuer’s current report on Form 8-K, filed on December 18, 2020.</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683712 103</w:t>
      </w:r>
    </w:p>
    <w:p>
      <w:pPr>
        <w:spacing w:after="0" w:line="171"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Len Blavatnik</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024" w:hanging="422"/>
        <w:spacing w:after="0"/>
        <w:tabs>
          <w:tab w:leader="none" w:pos="20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34,639,442 shares</w:t>
            </w:r>
          </w:p>
        </w:tc>
        <w:tc>
          <w:tcPr>
            <w:tcW w:w="0" w:type="dxa"/>
            <w:vAlign w:val="bottom"/>
          </w:tcPr>
          <w:p>
            <w:pPr>
              <w:spacing w:after="0"/>
              <w:rPr>
                <w:sz w:val="1"/>
                <w:szCs w:val="1"/>
                <w:color w:val="auto"/>
              </w:rPr>
            </w:pPr>
          </w:p>
        </w:tc>
      </w:tr>
      <w:tr>
        <w:trPr>
          <w:trHeight w:val="116"/>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0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rPr>
              <w:t>WITH</w:t>
            </w:r>
          </w:p>
        </w:tc>
        <w:tc>
          <w:tcPr>
            <w:tcW w:w="400" w:type="dxa"/>
            <w:vAlign w:val="bottom"/>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10</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34,639,442 shares</w:t>
      </w:r>
    </w:p>
    <w:p>
      <w:pPr>
        <w:spacing w:after="0" w:line="36" w:lineRule="exact"/>
        <w:rPr>
          <w:sz w:val="20"/>
          <w:szCs w:val="20"/>
          <w:color w:val="auto"/>
        </w:rPr>
      </w:pPr>
    </w:p>
    <w:p>
      <w:pPr>
        <w:ind w:left="624" w:right="3860" w:hanging="467"/>
        <w:spacing w:after="0" w:line="406" w:lineRule="auto"/>
        <w:tabs>
          <w:tab w:leader="none" w:pos="6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34,639,442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20" w:hanging="467"/>
        <w:spacing w:after="0" w:line="402" w:lineRule="auto"/>
        <w:tabs>
          <w:tab w:leader="none" w:pos="6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6.36%</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24" w:right="6080" w:hanging="467"/>
        <w:spacing w:after="0" w:line="547" w:lineRule="auto"/>
        <w:tabs>
          <w:tab w:leader="none" w:pos="6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percentages of ownership of the Common Stock by Reporting Persons presented in this Statement assume an aggregate of 544,422,565 shares of Common Stock issued and outstanding immediately following the consummation of the Business Combination on December 18, 2020, as set forth in the Issuer’s current report on Form 8-K, filed on December 18, 2020.</w:t>
      </w:r>
    </w:p>
    <w:p>
      <w:pPr>
        <w:sectPr>
          <w:pgSz w:w="11900" w:h="16838" w:orient="portrait"/>
          <w:cols w:equalWidth="0" w:num="1">
            <w:col w:w="11024"/>
          </w:cols>
          <w:pgMar w:left="436"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CONTINUATION PAGES TO SCHEDULE 13D</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This Schedule 13D is being filed by Access Industries Management, LLC (“AIM”), AI LiquidRE LLC (“AIL”) and Len Blavatnik (collectively, the “Reporting Persons”, and each, a “Reporting Person”) to report the acquisition of common stock, $0.0001 par value per share (the “Common Stock”), of Opendoor Technologies Inc. (the “Issuer”).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This Schedule 13D relates to the Common Stock of the Issuer. The address of the Issuer’s principal executive office is: 1 Post Street, Floor 11, San Francisco, CA 94104.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2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4"/>
              </w:rPr>
              <w:t>Name</w:t>
            </w:r>
          </w:p>
        </w:tc>
        <w:tc>
          <w:tcPr>
            <w:tcW w:w="2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Address of</w:t>
            </w: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Principal Business/Occupation</w:t>
            </w:r>
          </w:p>
        </w:tc>
        <w:tc>
          <w:tcPr>
            <w:tcW w:w="140" w:type="dxa"/>
            <w:vAlign w:val="bottom"/>
            <w:vMerge w:val="restart"/>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Business/Principal Office</w:t>
            </w:r>
          </w:p>
        </w:tc>
        <w:tc>
          <w:tcPr>
            <w:tcW w:w="100" w:type="dxa"/>
            <w:vAlign w:val="bottom"/>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Organization/Citizenship</w:t>
            </w:r>
          </w:p>
        </w:tc>
        <w:tc>
          <w:tcPr>
            <w:tcW w:w="0" w:type="dxa"/>
            <w:vAlign w:val="bottom"/>
          </w:tcPr>
          <w:p>
            <w:pPr>
              <w:spacing w:after="0"/>
              <w:rPr>
                <w:sz w:val="1"/>
                <w:szCs w:val="1"/>
                <w:color w:val="auto"/>
              </w:rPr>
            </w:pPr>
          </w:p>
        </w:tc>
      </w:tr>
      <w:tr>
        <w:trPr>
          <w:trHeight w:val="296"/>
        </w:trPr>
        <w:tc>
          <w:tcPr>
            <w:tcW w:w="172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Access Industries</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 Access Industries, Inc.</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Manager of holdings of strategic</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17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Management, LLC</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40 West 57</w:t>
            </w:r>
            <w:r>
              <w:rPr>
                <w:rFonts w:ascii="Arial" w:cs="Arial" w:eastAsia="Arial" w:hAnsi="Arial"/>
                <w:sz w:val="15"/>
                <w:szCs w:val="15"/>
                <w:color w:val="auto"/>
                <w:w w:val="90"/>
              </w:rPr>
              <w:t>th</w:t>
            </w:r>
            <w:r>
              <w:rPr>
                <w:rFonts w:ascii="Arial" w:cs="Arial" w:eastAsia="Arial" w:hAnsi="Arial"/>
                <w:sz w:val="18"/>
                <w:szCs w:val="18"/>
                <w:color w:val="auto"/>
                <w:w w:val="90"/>
              </w:rPr>
              <w:t xml:space="preserve"> St., 28</w:t>
            </w:r>
            <w:r>
              <w:rPr>
                <w:rFonts w:ascii="Arial" w:cs="Arial" w:eastAsia="Arial" w:hAnsi="Arial"/>
                <w:sz w:val="15"/>
                <w:szCs w:val="15"/>
                <w:color w:val="auto"/>
                <w:w w:val="90"/>
              </w:rPr>
              <w:t>th</w:t>
            </w:r>
            <w:r>
              <w:rPr>
                <w:rFonts w:ascii="Arial" w:cs="Arial" w:eastAsia="Arial" w:hAnsi="Arial"/>
                <w:sz w:val="18"/>
                <w:szCs w:val="18"/>
                <w:color w:val="auto"/>
                <w:w w:val="90"/>
              </w:rPr>
              <w:t xml:space="preserve"> Floor</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investments in a variety of industries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New York, NY 10019</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worldwide</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720" w:type="dxa"/>
            <w:vAlign w:val="bottom"/>
            <w:gridSpan w:val="3"/>
          </w:tcPr>
          <w:p>
            <w:pPr>
              <w:jc w:val="center"/>
              <w:ind w:right="340"/>
              <w:spacing w:after="0"/>
              <w:rPr>
                <w:sz w:val="20"/>
                <w:szCs w:val="20"/>
                <w:color w:val="auto"/>
              </w:rPr>
            </w:pPr>
            <w:r>
              <w:rPr>
                <w:rFonts w:ascii="Arial" w:cs="Arial" w:eastAsia="Arial" w:hAnsi="Arial"/>
                <w:sz w:val="18"/>
                <w:szCs w:val="18"/>
                <w:color w:val="auto"/>
              </w:rPr>
              <w:t>AI LiquidRE LLC</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 Access Industries, Inc.</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Holding company for a strategic</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40 West 57</w:t>
            </w:r>
            <w:r>
              <w:rPr>
                <w:rFonts w:ascii="Arial" w:cs="Arial" w:eastAsia="Arial" w:hAnsi="Arial"/>
                <w:sz w:val="15"/>
                <w:szCs w:val="15"/>
                <w:color w:val="auto"/>
                <w:w w:val="90"/>
              </w:rPr>
              <w:t>th</w:t>
            </w:r>
            <w:r>
              <w:rPr>
                <w:rFonts w:ascii="Arial" w:cs="Arial" w:eastAsia="Arial" w:hAnsi="Arial"/>
                <w:sz w:val="18"/>
                <w:szCs w:val="18"/>
                <w:color w:val="auto"/>
                <w:w w:val="90"/>
              </w:rPr>
              <w:t xml:space="preserve"> St., 28</w:t>
            </w:r>
            <w:r>
              <w:rPr>
                <w:rFonts w:ascii="Arial" w:cs="Arial" w:eastAsia="Arial" w:hAnsi="Arial"/>
                <w:sz w:val="15"/>
                <w:szCs w:val="15"/>
                <w:color w:val="auto"/>
                <w:w w:val="90"/>
              </w:rPr>
              <w:t>th</w:t>
            </w:r>
            <w:r>
              <w:rPr>
                <w:rFonts w:ascii="Arial" w:cs="Arial" w:eastAsia="Arial" w:hAnsi="Arial"/>
                <w:sz w:val="18"/>
                <w:szCs w:val="18"/>
                <w:color w:val="auto"/>
                <w:w w:val="90"/>
              </w:rPr>
              <w:t xml:space="preserve"> Floor</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investment</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New York, NY 10019</w:t>
            </w: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72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Len Blavatnik</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 Access Industries, Inc.</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Chairman of Access Industries, Inc.,</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United States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40 West 57</w:t>
            </w:r>
            <w:r>
              <w:rPr>
                <w:rFonts w:ascii="Arial" w:cs="Arial" w:eastAsia="Arial" w:hAnsi="Arial"/>
                <w:sz w:val="15"/>
                <w:szCs w:val="15"/>
                <w:color w:val="auto"/>
                <w:w w:val="90"/>
              </w:rPr>
              <w:t>th</w:t>
            </w:r>
            <w:r>
              <w:rPr>
                <w:rFonts w:ascii="Arial" w:cs="Arial" w:eastAsia="Arial" w:hAnsi="Arial"/>
                <w:sz w:val="18"/>
                <w:szCs w:val="18"/>
                <w:color w:val="auto"/>
                <w:w w:val="90"/>
              </w:rPr>
              <w:t xml:space="preserve"> St., 28</w:t>
            </w:r>
            <w:r>
              <w:rPr>
                <w:rFonts w:ascii="Arial" w:cs="Arial" w:eastAsia="Arial" w:hAnsi="Arial"/>
                <w:sz w:val="15"/>
                <w:szCs w:val="15"/>
                <w:color w:val="auto"/>
                <w:w w:val="90"/>
              </w:rPr>
              <w:t>th</w:t>
            </w:r>
            <w:r>
              <w:rPr>
                <w:rFonts w:ascii="Arial" w:cs="Arial" w:eastAsia="Arial" w:hAnsi="Arial"/>
                <w:sz w:val="18"/>
                <w:szCs w:val="18"/>
                <w:color w:val="auto"/>
                <w:w w:val="90"/>
              </w:rPr>
              <w:t xml:space="preserve"> Floor</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the principal business of which is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New York, NY 10019</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holding strategic investments in a</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variety of industries worldwide</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filed as Exhibit 99.3 hereto.</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None of the Reporting Persons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12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On September 15, 2020, Social Capital Hedosophia Holdings Corp. II (“SCH”), a special purpose acquisition company and the predecessor to the Issuer, Hestia Merger Sub Inc. (the “Merger Sub”), a direct wholly owned subsidiary of SCH, and Opendoor Labs Inc. (“Opendoor”) entered into an Agreement and Plan of Merger (the “Merger Agreement”) pursuant to which SCH was renamed Opendoor Technologies Inc. and the Merger Sub merged with and into Opendoor with Opendoor surviving and continuing as a wholly owned subsidiary of the Issuer, effective December 18, 2020 (the “Merger”). In connection with and as a condition to the closing of the Merger, the Issuer changed its jurisdiction of incorporation from the Cayman Islands to the State of Delaware (the “Domestication” and, together with the Merger, the “Business Combination”).</w:t>
      </w:r>
    </w:p>
    <w:p>
      <w:pPr>
        <w:spacing w:after="0" w:line="17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Between 2014 and 2019, AIL acquired 4,458,712 shares of Opendoor Series C Preferred Stock at a price of $8.9712 per share, 760,012 shares of Opendoor Series D Preferred Stock at a price of $13.1577 per share, 1,294,170 shares of Opendoor Series D-1 Preferred Stock at a price of $11.8419 per share, 5,220,296 shares of Opendoor Series E Preferred</w:t>
      </w:r>
    </w:p>
    <w:p>
      <w:pPr>
        <w:sectPr>
          <w:pgSz w:w="11900" w:h="16838" w:orient="portrait"/>
          <w:cols w:equalWidth="0" w:num="1">
            <w:col w:w="11020"/>
          </w:cols>
          <w:pgMar w:left="440" w:top="274" w:right="439" w:bottom="1440" w:gutter="0" w:footer="0" w:header="0"/>
        </w:sectPr>
      </w:pPr>
    </w:p>
    <w:bookmarkStart w:id="5" w:name="page6"/>
    <w:bookmarkEnd w:id="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at a price of $9.58 per share and 1,623,213 shares of Opendoor Series E-2 Preferred Stock at a price of $13.33 per share. AIL funded these purchases using capital contributed from affiliated entities, which funded that capital using cash on hand. In April 2017, all shares of the Opendoor Series C Preferred Stock, Series D Preferred Stock and Series D-1 Preferred Stock were subject to a 2-for-1 stock split. In accordance with the applicable terms of the Merger Agreement, immediately prior to the effective time of the Business Combination, each share of Opendoor Series C Preferred Stock, Series D Preferred Stock, Series D-1 Preferred Stock, Series E Preferred Stock and Series E-2 Preferred Stock converted into shares of common stock of Opendoor, par value $0.00001 per share, on a 1:1 basis. On December 18, 2020, upon the closing of the Business Combination, all outstanding shares of common stock of Opendoor were cancelled in exchange for the right to receive shares of Common Stock of the Issuer at a deemed value of $10.00 per share on approximately a 1.617543:1 basis.</w:t>
      </w:r>
    </w:p>
    <w:p>
      <w:pPr>
        <w:spacing w:after="0" w:line="17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On December 18, 2020, AIL purchased 2,500,000 shares of Class A common stock of the Issuer at a price of $10.00 per share from the Issuer in a private placement (the “Private Placement”) pursuant to the subscription agreement between the Issuer and AIL dated September 15, 2020 (the “Subscription Agreement”). AIL funded this purchase using capital contributed from affiliated entities, which funded that capital using cash on hand. In accordance with the applicable terms of the Merger Agreement, each share of Class A common stock converted into shares of Common Stock on a 1:1 basis on December 18, 2020 in connection with the Domestication.</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foregoing descriptions of the Merger Agreement and the Subscription Agreement do not purport to be complete and are qualified in their entirety by reference to the Merger Agreement and the Subscription Agreement, respectively. The Merger Agreement was filed by the Issuer as Exhibit 2.1 to the Issuer’s Form 8-K/A, as filed with the Securities and Exchange Commission on September 17, 2020. The Subscription Agreement is filed as an exhibit and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6 hereof is hereby incorporated by reference into this Item 4.</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Reporting Persons acquired the Common Stock pursuant to the Merger Agreement and the Subscription Agreement. The information set forth in Item 3 of this Schedule 13D is incorporated by reference herein.</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Reporting Persons who hold Common Stock directly acquired those shares as an investment in the regular course of their businesses. The Reporting Persons may engage in discussions with management, the Issuer’s board of directors, other stockholders of the Issuer and other relevant parties concerning the business, operations, board composition, management, strategy and future plans of the Issuer. Pueo Keffer, Managing Director of Access Technology Ventures, the venture capital and growth technology investment arm of Access Industries, Inc., currently serves on the Issuer’s board of directors. The Reporting Persons intend to re-examine their investment from time to time and, depending on prevailing market conditions, other investment opportunities, liquidity requirements or other investment considerations the Reporting Persons deem material, the Reporting Persons may from time to time acquire additional Common Stock in the open market, block trades, negotiated transactions, or otherwise. The Reporting Persons may also dispose of all or a portion of the Issuer’s securities, in open market or privately negotiated transactions, and/or enter into derivative transactions with institutional counterparties with respect to the Issuer’s Common Stock, in each case, subject to limitations under applicable law and the Registration Rights Agreement (as defined below).</w:t>
      </w:r>
    </w:p>
    <w:p>
      <w:pPr>
        <w:spacing w:after="0" w:line="18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Reporting Persons have not yet determined which, if any, of the above courses of action they may ultimately take. The Reporting Persons’ future actions with regard to the Issuer are dependent on their evaluation of the factors listed above, circumstances affecting the Issuer in the future, including prospects of the Issuer, general market and economic conditions and other factors deemed relevant. The Reporting Persons reserve the right to determine in the future whether to change the purpose or purposes described above or whether to adopt plans or proposals of the type specified above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set forth above, the Reporting Persons have no plans or proposals with respect to the Issuer.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jc w:val="both"/>
        <w:ind w:left="440" w:right="40" w:hanging="4"/>
        <w:spacing w:after="0" w:line="263"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w:t>
      </w:r>
    </w:p>
    <w:p>
      <w:pPr>
        <w:sectPr>
          <w:pgSz w:w="11900" w:h="16838" w:orient="portrait"/>
          <w:cols w:equalWidth="0" w:num="1">
            <w:col w:w="11000"/>
          </w:cols>
          <w:pgMar w:left="440" w:top="274" w:right="459" w:bottom="1440" w:gutter="0" w:footer="0" w:header="0"/>
        </w:sectPr>
      </w:pPr>
    </w:p>
    <w:bookmarkStart w:id="6" w:name="page7"/>
    <w:bookmarkEnd w:id="6"/>
    <w:p>
      <w:pPr>
        <w:ind w:left="44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responses of each of the Reporting Persons with respect to Rows 7, 8, 9, and 10 of the cover pages of this Schedule 13D that relate to the number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34,639,442 shares of Common Stock are owned directly by AIL and may be deemed to be beneficially owned by AIM and Len Blavatnik because</w:t>
      </w:r>
    </w:p>
    <w:p>
      <w:pPr>
        <w:spacing w:after="0" w:line="46" w:lineRule="exact"/>
        <w:rPr>
          <w:sz w:val="20"/>
          <w:szCs w:val="20"/>
          <w:color w:val="auto"/>
        </w:rPr>
      </w:pPr>
    </w:p>
    <w:p>
      <w:pPr>
        <w:jc w:val="both"/>
        <w:ind w:left="440" w:right="20" w:hanging="4"/>
        <w:spacing w:after="0" w:line="255" w:lineRule="auto"/>
        <w:tabs>
          <w:tab w:leader="none" w:pos="6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AIM is the controlling entity of AIL and (ii) Len Blavatnik controls AIM and holds a majority of the outstanding voting interests in AIL. Each of the Reporting Persons (other than AIL), and each of their affiliated entities and the officers, partners, members and managers thereof, disclaims beneficial ownership of these securities.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 The following transactions in the Issuer’s securities have been effected by Reporting Persons within the 60 days prior to this filing:</w:t>
      </w:r>
    </w:p>
    <w:p>
      <w:pPr>
        <w:spacing w:after="0" w:line="129"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On December 18, 2020, AIL purchased 2,500,000 shares of Class A common stock of the Issuer at a price of $10.00 per share from the Issuer in the Private Placement. Each share of Class A common stock converted into shares of Common Stock on a 1:1 basis on December 18, 2020 in connection with the Domestication.</w:t>
      </w:r>
    </w:p>
    <w:p>
      <w:pPr>
        <w:spacing w:after="0" w:line="76" w:lineRule="exact"/>
        <w:rPr>
          <w:sz w:val="20"/>
          <w:szCs w:val="20"/>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3 of this Schedule 13D is incorporated by reference herein.</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In connection with the Business Combination, the Issuer entered into an Amended and Restated Registration Rights Agreement, dated December 18, 2020 (the “Registration Rights Agreement”), with former stockholders of Opendoor, including AIL, certain of the Issuer’s directors and certain entities affiliated with the Issuer’s directors. The Registration Rights Agreement grants to AIL, and its respective permitted transferees, customary shelf registration rights and piggyback registration rights, in each case subject to customary terms and conditions.</w:t>
      </w:r>
    </w:p>
    <w:p>
      <w:pPr>
        <w:spacing w:after="0" w:line="17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Pursuant to the terms of the Registration Rights Agreement, AIL agreed, subject to certain exceptions, that it will not sell or assign, offer to sell, contract or agree to sell, hypothecate, pledge, grant any option to purchase or otherwise dispose of, enter into any swap or another arrangement that transfers to another, in whole or in part, any of the economic consequences of ownership of or publically announce any intention to effect any transaction previously specified in respect of shares of Common Stock acquired in the Business Combination (but not including shares of Common Stock acquired in the Private Placement) (the “Lock-up Shares”) until the earlier of (i) 180 days after the closing date of the Merger or (ii) for 50% of the Lock-up Shares, the date on which the last reported sale price of the Common Stock equals or exceeds $15.00 per share (as adjusted for stock splits, stock dividends, reorganizations, recapitalizations and the like) for any 20 trading days within any 30-day period commencing at least 90 days after the closing date of the Merger.</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reference to the Registration Rights Agreement, which is filed as an exhibit and incorporated herein by reference.</w:t>
      </w:r>
    </w:p>
    <w:p>
      <w:pPr>
        <w:sectPr>
          <w:pgSz w:w="11900" w:h="16838" w:orient="portrait"/>
          <w:cols w:equalWidth="0" w:num="1">
            <w:col w:w="10960"/>
          </w:cols>
          <w:pgMar w:left="440" w:top="27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7 Materials to Be Filed as Exhibits</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2" w:lineRule="exact"/>
        <w:rPr>
          <w:sz w:val="20"/>
          <w:szCs w:val="20"/>
          <w:color w:val="auto"/>
        </w:rPr>
      </w:pPr>
    </w:p>
    <w:p>
      <w:pPr>
        <w:ind w:left="880" w:right="40" w:hanging="876"/>
        <w:spacing w:after="0" w:line="254"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Form of Subscription Agreement, by and between Social Capital Hedosophia Holdings Corp. II and AI LiquidRE LLC (incorporated herein by reference to Annex D to the proxy statement/prospectus on Form S-4 (file number 333-249302) filed with the Securities and Exchange Commission on October 5, 2020 by Social Capital Hedosophia Holdings Corp. II).</w:t>
      </w:r>
    </w:p>
    <w:p>
      <w:pPr>
        <w:spacing w:after="0" w:line="83" w:lineRule="exact"/>
        <w:rPr>
          <w:sz w:val="20"/>
          <w:szCs w:val="20"/>
          <w:color w:val="auto"/>
        </w:rPr>
      </w:pPr>
    </w:p>
    <w:p>
      <w:pPr>
        <w:ind w:left="880" w:hanging="876"/>
        <w:spacing w:after="0" w:line="279" w:lineRule="auto"/>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Amended and Restated Registration Rights Agreement, dated December 18, 2020, by and among Opendoor Technologies Inc., SCH Sponsor II LLC, certain former stockholders of Opendoor Labs Inc., certain directors of Opendoor Technologies Inc. and certain entities affiliated with the directors of Opendoor Technologies Inc. (incorporated herein by reference to Exhibit 10.14 to the Form 8-K filed with the Securities and Exchange Commission on December 18, 2020 by Opendoor Technologies Inc.).</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Joint Filing Agreement, dated as of December 28, 2020.</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Limited Power of Attorney.</w:t>
      </w:r>
    </w:p>
    <w:p>
      <w:pPr>
        <w:sectPr>
          <w:pgSz w:w="11900" w:h="16838" w:orient="portrait"/>
          <w:cols w:equalWidth="0" w:num="1">
            <w:col w:w="10980"/>
          </w:cols>
          <w:pgMar w:left="440" w:top="270" w:right="47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December 28, 2020</w:t>
            </w:r>
          </w:p>
        </w:tc>
        <w:tc>
          <w:tcPr>
            <w:tcW w:w="52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24"/>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Alejandro Moreno</w:t>
            </w:r>
          </w:p>
        </w:tc>
      </w:tr>
      <w:tr>
        <w:trPr>
          <w:trHeight w:val="431"/>
        </w:trPr>
        <w:tc>
          <w:tcPr>
            <w:tcW w:w="5740" w:type="dxa"/>
            <w:vAlign w:val="bottom"/>
          </w:tcPr>
          <w:p>
            <w:pPr>
              <w:spacing w:after="0"/>
              <w:rPr>
                <w:sz w:val="20"/>
                <w:szCs w:val="20"/>
                <w:color w:val="auto"/>
              </w:rPr>
            </w:pPr>
            <w:r>
              <w:rPr>
                <w:rFonts w:ascii="Arial" w:cs="Arial" w:eastAsia="Arial" w:hAnsi="Arial"/>
                <w:sz w:val="18"/>
                <w:szCs w:val="18"/>
                <w:color w:val="auto"/>
              </w:rPr>
              <w:t>AI LIQUIDRE LLC</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24"/>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Alejandro Moreno</w:t>
            </w:r>
          </w:p>
        </w:tc>
      </w:tr>
      <w:tr>
        <w:trPr>
          <w:trHeight w:val="431"/>
        </w:trPr>
        <w:tc>
          <w:tcPr>
            <w:tcW w:w="57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224" w:right="800" w:hanging="224"/>
        <w:spacing w:after="0" w:line="277" w:lineRule="auto"/>
        <w:tabs>
          <w:tab w:leader="none" w:pos="2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Schedule 13D pursuant to the Limited Power of Attorney executed on behalf of Mr. Blavatnik and filed herewith.</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4"/>
          </w:cols>
          <w:pgMar w:left="436" w:top="27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In accordance with Rule 13d-1(k)(1) promulgated under the Securities and Exchange Act of 1934, as amended, the undersigned hereby agree to the joint filing with each other on behalf of each of them of such a statement on Schedule 13D (and any amendments thereto) with respect to the Common Stock, par value $0.0001, beneficially owned by each of them, of Opendoor Technologies Inc., a corporation incorporated under the laws of the State of Delaware. This Joint Filing Agreement shall be included as an exhibit to such Schedule 13D.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bookmarkStart w:id="10" w:name="page11"/>
    <w:bookmarkEnd w:id="1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hereby execute this Joint Filing Agreement as of the 28</w:t>
      </w:r>
      <w:r>
        <w:rPr>
          <w:rFonts w:ascii="Arial" w:cs="Arial" w:eastAsia="Arial" w:hAnsi="Arial"/>
          <w:sz w:val="15"/>
          <w:szCs w:val="15"/>
          <w:color w:val="auto"/>
        </w:rPr>
        <w:t>th</w:t>
      </w:r>
      <w:r>
        <w:rPr>
          <w:rFonts w:ascii="Arial" w:cs="Arial" w:eastAsia="Arial" w:hAnsi="Arial"/>
          <w:sz w:val="18"/>
          <w:szCs w:val="18"/>
          <w:color w:val="auto"/>
        </w:rPr>
        <w:t xml:space="preserve"> day of December, 2020.</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24"/>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Alejandro Moreno</w:t>
            </w:r>
          </w:p>
        </w:tc>
      </w:tr>
      <w:tr>
        <w:trPr>
          <w:trHeight w:val="431"/>
        </w:trPr>
        <w:tc>
          <w:tcPr>
            <w:tcW w:w="5740" w:type="dxa"/>
            <w:vAlign w:val="bottom"/>
          </w:tcPr>
          <w:p>
            <w:pPr>
              <w:spacing w:after="0"/>
              <w:rPr>
                <w:sz w:val="20"/>
                <w:szCs w:val="20"/>
                <w:color w:val="auto"/>
              </w:rPr>
            </w:pPr>
            <w:r>
              <w:rPr>
                <w:rFonts w:ascii="Arial" w:cs="Arial" w:eastAsia="Arial" w:hAnsi="Arial"/>
                <w:sz w:val="18"/>
                <w:szCs w:val="18"/>
                <w:color w:val="auto"/>
              </w:rPr>
              <w:t>AI LIQUIDRE LLC</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24"/>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Alejandro Moreno</w:t>
            </w:r>
          </w:p>
        </w:tc>
      </w:tr>
      <w:tr>
        <w:trPr>
          <w:trHeight w:val="431"/>
        </w:trPr>
        <w:tc>
          <w:tcPr>
            <w:tcW w:w="57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224" w:right="140" w:hanging="224"/>
        <w:spacing w:after="0" w:line="277" w:lineRule="auto"/>
        <w:tabs>
          <w:tab w:leader="none" w:pos="2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Joint Filing Agreement pursuant to the Limited Power of Attorney executed on behalf of Mr. Blavatnik and filed herewith.</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4"/>
          </w:cols>
          <w:pgMar w:left="436"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99.4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Lincoln Benet and Alejandro Moreno, and each of them individually, the undersigned’s true and lawful attorney-in-fact to:</w:t>
      </w:r>
    </w:p>
    <w:p>
      <w:pPr>
        <w:spacing w:after="0" w:line="76" w:lineRule="exact"/>
        <w:rPr>
          <w:sz w:val="20"/>
          <w:szCs w:val="20"/>
          <w:color w:val="auto"/>
        </w:rPr>
      </w:pPr>
    </w:p>
    <w:p>
      <w:pPr>
        <w:ind w:left="960" w:hanging="424"/>
        <w:spacing w:after="0"/>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beneficial owner of Opendoor Technologies Inc. (the</w:t>
      </w:r>
    </w:p>
    <w:p>
      <w:pPr>
        <w:spacing w:after="0" w:line="34" w:lineRule="exact"/>
        <w:rPr>
          <w:rFonts w:ascii="Arial" w:cs="Arial" w:eastAsia="Arial" w:hAnsi="Arial"/>
          <w:sz w:val="17"/>
          <w:szCs w:val="17"/>
          <w:color w:val="auto"/>
        </w:rPr>
      </w:pPr>
    </w:p>
    <w:p>
      <w:pPr>
        <w:ind w:left="960" w:right="20"/>
        <w:spacing w:after="0" w:line="281"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(i) Forms 3, 4 and 5 and any other forms required to be filed in accordance with Section 16(a)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thereunder (a “</w:t>
      </w:r>
      <w:r>
        <w:rPr>
          <w:rFonts w:ascii="Arial" w:cs="Arial" w:eastAsia="Arial" w:hAnsi="Arial"/>
          <w:sz w:val="16"/>
          <w:szCs w:val="16"/>
          <w:u w:val="single" w:color="auto"/>
          <w:color w:val="auto"/>
        </w:rPr>
        <w:t>Section 16 Form</w:t>
      </w:r>
      <w:r>
        <w:rPr>
          <w:rFonts w:ascii="Arial" w:cs="Arial" w:eastAsia="Arial" w:hAnsi="Arial"/>
          <w:sz w:val="16"/>
          <w:szCs w:val="16"/>
          <w:color w:val="auto"/>
        </w:rPr>
        <w:t>”), (ii) all forms and schedules in accordance with</w:t>
      </w:r>
    </w:p>
    <w:p>
      <w:pPr>
        <w:spacing w:after="0" w:line="1" w:lineRule="exact"/>
        <w:rPr>
          <w:rFonts w:ascii="Arial" w:cs="Arial" w:eastAsia="Arial" w:hAnsi="Arial"/>
          <w:sz w:val="17"/>
          <w:szCs w:val="17"/>
          <w:color w:val="auto"/>
        </w:rPr>
      </w:pPr>
    </w:p>
    <w:p>
      <w:pPr>
        <w:ind w:left="960" w:right="80"/>
        <w:spacing w:after="0" w:line="252" w:lineRule="auto"/>
        <w:rPr>
          <w:rFonts w:ascii="Arial" w:cs="Arial" w:eastAsia="Arial" w:hAnsi="Arial"/>
          <w:sz w:val="17"/>
          <w:szCs w:val="17"/>
          <w:color w:val="auto"/>
        </w:rPr>
      </w:pPr>
      <w:r>
        <w:rPr>
          <w:rFonts w:ascii="Arial" w:cs="Arial" w:eastAsia="Arial" w:hAnsi="Arial"/>
          <w:sz w:val="18"/>
          <w:szCs w:val="18"/>
          <w:color w:val="auto"/>
        </w:rPr>
        <w:t>Section 13(d) of the Exchange Act and the rules thereunder, including all amendments thereto (a “</w:t>
      </w:r>
      <w:r>
        <w:rPr>
          <w:rFonts w:ascii="Arial" w:cs="Arial" w:eastAsia="Arial" w:hAnsi="Arial"/>
          <w:sz w:val="18"/>
          <w:szCs w:val="18"/>
          <w:u w:val="single" w:color="auto"/>
          <w:color w:val="auto"/>
        </w:rPr>
        <w:t>Section 13 Schedule</w:t>
      </w:r>
      <w:r>
        <w:rPr>
          <w:rFonts w:ascii="Arial" w:cs="Arial" w:eastAsia="Arial" w:hAnsi="Arial"/>
          <w:sz w:val="18"/>
          <w:szCs w:val="18"/>
          <w:color w:val="auto"/>
        </w:rPr>
        <w:t>”), (iii) a Form ID Application, Passphrase Update Application and/or request to convert from paper only to electronic filer with the US Securities and Exchange Commission and to obtain access codes to file on EDGAR and any other forms required to be filed or submitted in accordance with Regulation S-T promulgated by the United States Securities and Exchange Commission (or any successor provision) in order to file a Section 13 Schedule or a Section 16 Form electronically (a “</w:t>
      </w:r>
      <w:r>
        <w:rPr>
          <w:rFonts w:ascii="Arial" w:cs="Arial" w:eastAsia="Arial" w:hAnsi="Arial"/>
          <w:sz w:val="18"/>
          <w:szCs w:val="18"/>
          <w:u w:val="single" w:color="auto"/>
          <w:color w:val="auto"/>
        </w:rPr>
        <w:t>Form ID</w:t>
      </w:r>
      <w:r>
        <w:rPr>
          <w:rFonts w:ascii="Arial" w:cs="Arial" w:eastAsia="Arial" w:hAnsi="Arial"/>
          <w:sz w:val="18"/>
          <w:szCs w:val="18"/>
          <w:color w:val="auto"/>
        </w:rPr>
        <w:t>”, and, together with a Section 13 Schedule and Section 16 Form, the “</w:t>
      </w:r>
      <w:r>
        <w:rPr>
          <w:rFonts w:ascii="Arial" w:cs="Arial" w:eastAsia="Arial" w:hAnsi="Arial"/>
          <w:sz w:val="18"/>
          <w:szCs w:val="18"/>
          <w:u w:val="single" w:color="auto"/>
          <w:color w:val="auto"/>
        </w:rPr>
        <w:t>Forms and Schedules</w:t>
      </w:r>
      <w:r>
        <w:rPr>
          <w:rFonts w:ascii="Arial" w:cs="Arial" w:eastAsia="Arial" w:hAnsi="Arial"/>
          <w:sz w:val="18"/>
          <w:szCs w:val="18"/>
          <w:color w:val="auto"/>
        </w:rPr>
        <w:t>”) and (iv) any Joint Filing Agreement or similar agreement with respect to the filing of any of the Forms or Schedules in (i) through (iii) above;</w:t>
      </w:r>
    </w:p>
    <w:p>
      <w:pPr>
        <w:spacing w:after="0" w:line="97" w:lineRule="exact"/>
        <w:rPr>
          <w:rFonts w:ascii="Arial" w:cs="Arial" w:eastAsia="Arial" w:hAnsi="Arial"/>
          <w:sz w:val="17"/>
          <w:szCs w:val="17"/>
          <w:color w:val="auto"/>
        </w:rPr>
      </w:pPr>
    </w:p>
    <w:p>
      <w:pPr>
        <w:ind w:left="960" w:right="140" w:hanging="424"/>
        <w:spacing w:after="0" w:line="286"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Forms and Schedules, complete and execute any amendment or amendments thereto, and timely file such Forms and Schedules with the U.S. Securities and Exchange Commission and any stock exchange or similar authority; and</w:t>
      </w:r>
    </w:p>
    <w:p>
      <w:pPr>
        <w:spacing w:after="0" w:line="70" w:lineRule="exact"/>
        <w:rPr>
          <w:rFonts w:ascii="Arial" w:cs="Arial" w:eastAsia="Arial" w:hAnsi="Arial"/>
          <w:sz w:val="17"/>
          <w:szCs w:val="17"/>
          <w:color w:val="auto"/>
        </w:rPr>
      </w:pPr>
    </w:p>
    <w:p>
      <w:pPr>
        <w:ind w:left="960" w:right="40" w:hanging="424"/>
        <w:spacing w:after="0" w:line="259"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Limited Power of Attorney shall be in such form and shall contain such terms and conditions as he may approve in his discretion.</w:t>
      </w:r>
    </w:p>
    <w:p>
      <w:pPr>
        <w:spacing w:after="0" w:line="18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his substitute or substitutes, shall lawfully do or cause to be done by virtue of this Limited Power of Attorney and the rights and powers herein granted.</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undersigned acknowledges that each such attorney-in-fact is serving in such capacity at the request of the undersigned, and is not assuming, nor is the Company assuming, any of the undersigned’s responsibilities to comply with Section 13 or Section 16 of the Exchange Act.</w:t>
      </w:r>
    </w:p>
    <w:p>
      <w:pPr>
        <w:spacing w:after="0" w:line="14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Limited Power of Attorney shall remain in full force and effect until the undersigned is no longer required to file any Forms and Schedules with respect to the undersigned’s holdings of and transactions in securities issued by the Company, unless earlier revoked by the undersigned in a signed writing delivered to each such attorney-in-fact.</w:t>
      </w:r>
    </w:p>
    <w:p>
      <w:pPr>
        <w:spacing w:after="0" w:line="184"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From and after the date hereof, any Limited Power of Attorney previously granted by the undersigned concerning the subject matter hereof is hereby revoked.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Limited Power of Attorney as of December 28,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LEONARD BLAVATNIK</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Leonard 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bullet"/>
      <w:start w:val="1"/>
    </w:lvl>
  </w:abstractNum>
  <w:abstractNum w:abstractNumId="1">
    <w:nsid w:val="25E45D32"/>
    <w:multiLevelType w:val="hybridMultilevel"/>
    <w:lvl w:ilvl="0">
      <w:lvlJc w:val="left"/>
      <w:lvlText w:val="2"/>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7"/>
      <w:numFmt w:val="bullet"/>
      <w:start w:val="1"/>
    </w:lvl>
  </w:abstractNum>
  <w:abstractNum w:abstractNumId="7">
    <w:nsid w:val="62BBD95A"/>
    <w:multiLevelType w:val="hybridMultilevel"/>
    <w:lvl w:ilvl="0">
      <w:lvlJc w:val="left"/>
      <w:lvlText w:val="%1"/>
      <w:numFmt w:val="decimal"/>
      <w:start w:val="1"/>
    </w:lvl>
    <w:lvl w:ilvl="1">
      <w:lvlJc w:val="left"/>
      <w:lvlText w:val="%2"/>
      <w:numFmt w:val="decimal"/>
      <w:start w:val="11"/>
    </w:lvl>
  </w:abstractNum>
  <w:abstractNum w:abstractNumId="8">
    <w:nsid w:val="436C6125"/>
    <w:multiLevelType w:val="hybridMultilevel"/>
    <w:lvl w:ilvl="0">
      <w:lvlJc w:val="left"/>
      <w:lvlText w:val="(%1)"/>
      <w:numFmt w:val="decimal"/>
      <w:start w:val="1"/>
    </w:lvl>
    <w:lvl w:ilvl="1">
      <w:lvlJc w:val="left"/>
      <w:lvlText w:val="%2"/>
      <w:numFmt w:val="decimal"/>
      <w:start w:val="1"/>
    </w:lvl>
  </w:abstractNum>
  <w:abstractNum w:abstractNumId="9">
    <w:nsid w:val="628C895D"/>
    <w:multiLevelType w:val="hybridMultilevel"/>
    <w:lvl w:ilvl="0">
      <w:lvlJc w:val="left"/>
      <w:lvlText w:val="1"/>
      <w:numFmt w:val="bullet"/>
      <w:start w:val="1"/>
    </w:lvl>
  </w:abstractNum>
  <w:abstractNum w:abstractNumId="10">
    <w:nsid w:val="333AB105"/>
    <w:multiLevelType w:val="hybridMultilevel"/>
    <w:lvl w:ilvl="0">
      <w:lvlJc w:val="left"/>
      <w:lvlText w:val="2"/>
      <w:numFmt w:val="bullet"/>
      <w:start w:val="1"/>
    </w:lvl>
  </w:abstractNum>
  <w:abstractNum w:abstractNumId="11">
    <w:nsid w:val="721DA317"/>
    <w:multiLevelType w:val="hybridMultilevel"/>
    <w:lvl w:ilvl="0">
      <w:lvlJc w:val="left"/>
      <w:lvlText w:val="3"/>
      <w:numFmt w:val="bullet"/>
      <w:start w:val="1"/>
    </w:lvl>
  </w:abstractNum>
  <w:abstractNum w:abstractNumId="12">
    <w:nsid w:val="2443A858"/>
    <w:multiLevelType w:val="hybridMultilevel"/>
    <w:lvl w:ilvl="0">
      <w:lvlJc w:val="left"/>
      <w:lvlText w:val="4"/>
      <w:numFmt w:val="bullet"/>
      <w:start w:val="1"/>
    </w:lvl>
  </w:abstractNum>
  <w:abstractNum w:abstractNumId="13">
    <w:nsid w:val="2D1D5AE9"/>
    <w:multiLevelType w:val="hybridMultilevel"/>
    <w:lvl w:ilvl="0">
      <w:lvlJc w:val="left"/>
      <w:lvlText w:val="5"/>
      <w:numFmt w:val="bullet"/>
      <w:start w:val="1"/>
    </w:lvl>
  </w:abstractNum>
  <w:abstractNum w:abstractNumId="14">
    <w:nsid w:val="6763845E"/>
    <w:multiLevelType w:val="hybridMultilevel"/>
    <w:lvl w:ilvl="0">
      <w:lvlJc w:val="left"/>
      <w:lvlText w:val="6"/>
      <w:numFmt w:val="bullet"/>
      <w:start w:val="1"/>
    </w:lvl>
  </w:abstractNum>
  <w:abstractNum w:abstractNumId="15">
    <w:nsid w:val="75A2A8D4"/>
    <w:multiLevelType w:val="hybridMultilevel"/>
    <w:lvl w:ilvl="0">
      <w:lvlJc w:val="left"/>
      <w:lvlText w:val="%1"/>
      <w:numFmt w:val="decimal"/>
      <w:start w:val="1"/>
    </w:lvl>
    <w:lvl w:ilvl="1">
      <w:lvlJc w:val="left"/>
      <w:lvlText w:val="%2"/>
      <w:numFmt w:val="decimal"/>
      <w:start w:val="11"/>
    </w:lvl>
  </w:abstractNum>
  <w:abstractNum w:abstractNumId="16">
    <w:nsid w:val="8EDBDAB"/>
    <w:multiLevelType w:val="hybridMultilevel"/>
    <w:lvl w:ilvl="0">
      <w:lvlJc w:val="left"/>
      <w:lvlText w:val="(%1)"/>
      <w:numFmt w:val="decimal"/>
      <w:start w:val="1"/>
    </w:lvl>
    <w:lvl w:ilvl="1">
      <w:lvlJc w:val="left"/>
      <w:lvlText w:val="%2"/>
      <w:numFmt w:val="decimal"/>
      <w:start w:val="1"/>
    </w:lvl>
  </w:abstractNum>
  <w:abstractNum w:abstractNumId="17">
    <w:nsid w:val="79838CB2"/>
    <w:multiLevelType w:val="hybridMultilevel"/>
    <w:lvl w:ilvl="0">
      <w:lvlJc w:val="left"/>
      <w:lvlText w:val="1"/>
      <w:numFmt w:val="bullet"/>
      <w:start w:val="1"/>
    </w:lvl>
  </w:abstractNum>
  <w:abstractNum w:abstractNumId="18">
    <w:nsid w:val="4353D0CD"/>
    <w:multiLevelType w:val="hybridMultilevel"/>
    <w:lvl w:ilvl="0">
      <w:lvlJc w:val="left"/>
      <w:lvlText w:val="2"/>
      <w:numFmt w:val="bullet"/>
      <w:start w:val="1"/>
    </w:lvl>
  </w:abstractNum>
  <w:abstractNum w:abstractNumId="19">
    <w:nsid w:val="B03E0C6"/>
    <w:multiLevelType w:val="hybridMultilevel"/>
    <w:lvl w:ilvl="0">
      <w:lvlJc w:val="left"/>
      <w:lvlText w:val="3"/>
      <w:numFmt w:val="bullet"/>
      <w:start w:val="1"/>
    </w:lvl>
  </w:abstractNum>
  <w:abstractNum w:abstractNumId="20">
    <w:nsid w:val="189A769B"/>
    <w:multiLevelType w:val="hybridMultilevel"/>
    <w:lvl w:ilvl="0">
      <w:lvlJc w:val="left"/>
      <w:lvlText w:val="4"/>
      <w:numFmt w:val="bullet"/>
      <w:start w:val="1"/>
    </w:lvl>
  </w:abstractNum>
  <w:abstractNum w:abstractNumId="21">
    <w:nsid w:val="54E49EB4"/>
    <w:multiLevelType w:val="hybridMultilevel"/>
    <w:lvl w:ilvl="0">
      <w:lvlJc w:val="left"/>
      <w:lvlText w:val="5"/>
      <w:numFmt w:val="bullet"/>
      <w:start w:val="1"/>
    </w:lvl>
  </w:abstractNum>
  <w:abstractNum w:abstractNumId="22">
    <w:nsid w:val="71F32454"/>
    <w:multiLevelType w:val="hybridMultilevel"/>
    <w:lvl w:ilvl="0">
      <w:lvlJc w:val="left"/>
      <w:lvlText w:val="6"/>
      <w:numFmt w:val="bullet"/>
      <w:start w:val="1"/>
    </w:lvl>
  </w:abstractNum>
  <w:abstractNum w:abstractNumId="23">
    <w:nsid w:val="2CA88611"/>
    <w:multiLevelType w:val="hybridMultilevel"/>
    <w:lvl w:ilvl="0">
      <w:lvlJc w:val="left"/>
      <w:lvlText w:val="7"/>
      <w:numFmt w:val="bullet"/>
      <w:start w:val="1"/>
    </w:lvl>
  </w:abstractNum>
  <w:abstractNum w:abstractNumId="24">
    <w:nsid w:val="836C40E"/>
    <w:multiLevelType w:val="hybridMultilevel"/>
    <w:lvl w:ilvl="0">
      <w:lvlJc w:val="left"/>
      <w:lvlText w:val="%1"/>
      <w:numFmt w:val="decimal"/>
      <w:start w:val="1"/>
    </w:lvl>
    <w:lvl w:ilvl="1">
      <w:lvlJc w:val="left"/>
      <w:lvlText w:val="%2"/>
      <w:numFmt w:val="decimal"/>
      <w:start w:val="11"/>
    </w:lvl>
  </w:abstractNum>
  <w:abstractNum w:abstractNumId="25">
    <w:nsid w:val="2901D82"/>
    <w:multiLevelType w:val="hybridMultilevel"/>
    <w:lvl w:ilvl="0">
      <w:lvlJc w:val="left"/>
      <w:lvlText w:val="(%1)"/>
      <w:numFmt w:val="decimal"/>
      <w:start w:val="1"/>
    </w:lvl>
    <w:lvl w:ilvl="1">
      <w:lvlJc w:val="left"/>
      <w:lvlText w:val="%2"/>
      <w:numFmt w:val="decimal"/>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1)"/>
      <w:numFmt w:val="lowerLetter"/>
      <w:start w:val="4"/>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2020-12-28T15:34:27Z</dcterms:created>
  <dcterms:modified xsi:type="dcterms:W3CDTF">2020-12-28T15:34:27Z</dcterms:modified>
</cp:coreProperties>
</file>